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adjustRightInd w:val="0"/>
        <w:snapToGrid w:val="0"/>
        <w:spacing w:line="360" w:lineRule="auto"/>
        <w:ind w:firstLine="2831" w:firstLineChars="641"/>
        <w:jc w:val="center"/>
        <w:rPr>
          <w:rFonts w:asciiTheme="minorEastAsia" w:hAnsiTheme="minorEastAsia" w:eastAsiaTheme="minorEastAsia"/>
          <w:b/>
          <w:snapToGrid w:val="0"/>
          <w:kern w:val="0"/>
          <w:sz w:val="44"/>
          <w:szCs w:val="44"/>
        </w:rPr>
      </w:pPr>
    </w:p>
    <w:p>
      <w:pPr>
        <w:pStyle w:val="25"/>
        <w:adjustRightInd w:val="0"/>
        <w:snapToGrid w:val="0"/>
        <w:spacing w:line="360" w:lineRule="auto"/>
        <w:ind w:firstLine="2831" w:firstLineChars="641"/>
        <w:jc w:val="center"/>
        <w:rPr>
          <w:rFonts w:asciiTheme="minorEastAsia" w:hAnsiTheme="minorEastAsia" w:eastAsiaTheme="minorEastAsia"/>
          <w:b/>
          <w:snapToGrid w:val="0"/>
          <w:kern w:val="0"/>
          <w:sz w:val="44"/>
          <w:szCs w:val="44"/>
        </w:rPr>
      </w:pPr>
    </w:p>
    <w:p>
      <w:pPr>
        <w:adjustRightInd w:val="0"/>
        <w:snapToGrid w:val="0"/>
        <w:spacing w:line="360" w:lineRule="auto"/>
        <w:jc w:val="center"/>
        <w:rPr>
          <w:rFonts w:cs="楷体_GB2312" w:asciiTheme="minorEastAsia" w:hAnsiTheme="minorEastAsia" w:eastAsiaTheme="minorEastAsia"/>
          <w:b/>
          <w:snapToGrid w:val="0"/>
          <w:kern w:val="0"/>
          <w:sz w:val="48"/>
          <w:szCs w:val="48"/>
        </w:rPr>
      </w:pPr>
      <w:r>
        <w:rPr>
          <w:rFonts w:hint="eastAsia" w:cs="楷体_GB2312" w:asciiTheme="minorEastAsia" w:hAnsiTheme="minorEastAsia" w:eastAsiaTheme="minorEastAsia"/>
          <w:b/>
          <w:snapToGrid w:val="0"/>
          <w:kern w:val="0"/>
          <w:sz w:val="48"/>
          <w:szCs w:val="48"/>
        </w:rPr>
        <w:t>杭州市水文水资源监测总站</w:t>
      </w:r>
    </w:p>
    <w:p>
      <w:pPr>
        <w:adjustRightInd w:val="0"/>
        <w:snapToGrid w:val="0"/>
        <w:spacing w:line="360" w:lineRule="auto"/>
        <w:jc w:val="center"/>
        <w:rPr>
          <w:rFonts w:asciiTheme="minorEastAsia" w:hAnsiTheme="minorEastAsia" w:eastAsiaTheme="minorEastAsia"/>
          <w:snapToGrid w:val="0"/>
          <w:kern w:val="0"/>
          <w:sz w:val="84"/>
          <w:szCs w:val="84"/>
        </w:rPr>
      </w:pPr>
      <w:r>
        <w:rPr>
          <w:rFonts w:hint="eastAsia" w:cs="楷体_GB2312" w:asciiTheme="minorEastAsia" w:hAnsiTheme="minorEastAsia" w:eastAsiaTheme="minorEastAsia"/>
          <w:b/>
          <w:snapToGrid w:val="0"/>
          <w:kern w:val="0"/>
          <w:sz w:val="48"/>
          <w:szCs w:val="48"/>
        </w:rPr>
        <w:t>市本级水旱灾害监测预警平台项目</w:t>
      </w:r>
    </w:p>
    <w:p>
      <w:pPr>
        <w:adjustRightInd w:val="0"/>
        <w:snapToGrid w:val="0"/>
        <w:spacing w:line="360" w:lineRule="auto"/>
        <w:jc w:val="center"/>
        <w:rPr>
          <w:rFonts w:asciiTheme="minorEastAsia" w:hAnsiTheme="minorEastAsia" w:eastAsiaTheme="minorEastAsia"/>
          <w:snapToGrid w:val="0"/>
          <w:kern w:val="0"/>
          <w:sz w:val="84"/>
          <w:szCs w:val="84"/>
        </w:rPr>
      </w:pPr>
      <w:r>
        <w:rPr>
          <w:rFonts w:hint="eastAsia" w:asciiTheme="minorEastAsia" w:hAnsiTheme="minorEastAsia" w:eastAsiaTheme="minorEastAsia"/>
          <w:snapToGrid w:val="0"/>
          <w:kern w:val="0"/>
          <w:sz w:val="84"/>
          <w:szCs w:val="84"/>
        </w:rPr>
        <w:t>招  标  文  件</w:t>
      </w:r>
    </w:p>
    <w:p>
      <w:pPr>
        <w:adjustRightInd w:val="0"/>
        <w:snapToGrid w:val="0"/>
        <w:spacing w:line="360" w:lineRule="auto"/>
        <w:ind w:firstLine="2144" w:firstLineChars="890"/>
        <w:jc w:val="left"/>
        <w:rPr>
          <w:rFonts w:asciiTheme="minorEastAsia" w:hAnsiTheme="minorEastAsia" w:eastAsiaTheme="minorEastAsia"/>
          <w:b/>
          <w:snapToGrid w:val="0"/>
          <w:kern w:val="0"/>
          <w:sz w:val="24"/>
        </w:rPr>
      </w:pPr>
    </w:p>
    <w:p>
      <w:pPr>
        <w:pStyle w:val="2"/>
      </w:pPr>
    </w:p>
    <w:p>
      <w:pPr>
        <w:adjustRightInd w:val="0"/>
        <w:snapToGrid w:val="0"/>
        <w:spacing w:line="360" w:lineRule="auto"/>
        <w:ind w:firstLine="2144" w:firstLineChars="890"/>
        <w:jc w:val="left"/>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采购方式：公 开 招 标</w:t>
      </w:r>
    </w:p>
    <w:p>
      <w:pPr>
        <w:adjustRightInd w:val="0"/>
        <w:snapToGrid w:val="0"/>
        <w:spacing w:line="360" w:lineRule="auto"/>
        <w:ind w:firstLine="2144" w:firstLineChars="890"/>
        <w:jc w:val="left"/>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招标编号：</w:t>
      </w:r>
      <w:r>
        <w:rPr>
          <w:rFonts w:asciiTheme="minorEastAsia" w:hAnsiTheme="minorEastAsia" w:eastAsiaTheme="minorEastAsia"/>
          <w:b/>
          <w:snapToGrid w:val="0"/>
          <w:kern w:val="0"/>
          <w:sz w:val="24"/>
        </w:rPr>
        <w:t>ZJZN-19144</w:t>
      </w:r>
    </w:p>
    <w:p>
      <w:pPr>
        <w:adjustRightInd w:val="0"/>
        <w:snapToGrid w:val="0"/>
        <w:spacing w:line="360" w:lineRule="auto"/>
        <w:ind w:firstLine="2144" w:firstLineChars="890"/>
        <w:jc w:val="left"/>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项目名称：市本级水旱灾害监测预警平台</w:t>
      </w:r>
    </w:p>
    <w:p>
      <w:pPr>
        <w:adjustRightInd w:val="0"/>
        <w:snapToGrid w:val="0"/>
        <w:spacing w:line="360" w:lineRule="auto"/>
        <w:rPr>
          <w:rFonts w:asciiTheme="minorEastAsia" w:hAnsiTheme="minorEastAsia" w:eastAsiaTheme="minorEastAsia"/>
          <w:b/>
          <w:snapToGrid w:val="0"/>
          <w:kern w:val="0"/>
          <w:sz w:val="28"/>
          <w:szCs w:val="20"/>
        </w:rPr>
      </w:pPr>
    </w:p>
    <w:p>
      <w:pPr>
        <w:adjustRightInd w:val="0"/>
        <w:snapToGrid w:val="0"/>
        <w:spacing w:line="360" w:lineRule="auto"/>
        <w:rPr>
          <w:rFonts w:asciiTheme="minorEastAsia" w:hAnsiTheme="minorEastAsia" w:eastAsiaTheme="minorEastAsia"/>
          <w:b/>
          <w:snapToGrid w:val="0"/>
          <w:kern w:val="0"/>
          <w:sz w:val="28"/>
          <w:szCs w:val="20"/>
        </w:rPr>
      </w:pPr>
    </w:p>
    <w:p>
      <w:pPr>
        <w:adjustRightInd w:val="0"/>
        <w:snapToGrid w:val="0"/>
        <w:spacing w:line="360" w:lineRule="auto"/>
        <w:rPr>
          <w:rFonts w:asciiTheme="minorEastAsia" w:hAnsiTheme="minorEastAsia" w:eastAsiaTheme="minorEastAsia"/>
          <w:b/>
          <w:snapToGrid w:val="0"/>
          <w:kern w:val="0"/>
          <w:sz w:val="28"/>
          <w:szCs w:val="20"/>
        </w:rPr>
      </w:pPr>
    </w:p>
    <w:p>
      <w:pPr>
        <w:pStyle w:val="2"/>
      </w:pPr>
    </w:p>
    <w:p>
      <w:pPr>
        <w:adjustRightInd w:val="0"/>
        <w:snapToGrid w:val="0"/>
        <w:spacing w:line="360" w:lineRule="auto"/>
        <w:ind w:firstLine="1520" w:firstLineChars="473"/>
        <w:rPr>
          <w:rFonts w:asciiTheme="minorEastAsia" w:hAnsiTheme="minorEastAsia" w:eastAsiaTheme="minorEastAsia"/>
          <w:b/>
          <w:bCs/>
          <w:snapToGrid w:val="0"/>
          <w:kern w:val="0"/>
          <w:sz w:val="32"/>
          <w:szCs w:val="32"/>
        </w:rPr>
      </w:pPr>
      <w:r>
        <w:rPr>
          <w:rFonts w:hint="eastAsia" w:asciiTheme="minorEastAsia" w:hAnsiTheme="minorEastAsia" w:eastAsiaTheme="minorEastAsia"/>
          <w:b/>
          <w:bCs/>
          <w:snapToGrid w:val="0"/>
          <w:kern w:val="0"/>
          <w:sz w:val="32"/>
          <w:szCs w:val="32"/>
        </w:rPr>
        <w:t>采   购   人：杭州市水文水资源监测总站</w:t>
      </w:r>
    </w:p>
    <w:p>
      <w:pPr>
        <w:adjustRightInd w:val="0"/>
        <w:snapToGrid w:val="0"/>
        <w:spacing w:line="360" w:lineRule="auto"/>
        <w:ind w:firstLine="1520" w:firstLineChars="473"/>
        <w:rPr>
          <w:rFonts w:cs="仿宋_GB2312" w:asciiTheme="minorEastAsia" w:hAnsiTheme="minorEastAsia" w:eastAsiaTheme="minorEastAsia"/>
          <w:b/>
          <w:bCs/>
          <w:snapToGrid w:val="0"/>
          <w:kern w:val="0"/>
          <w:sz w:val="32"/>
          <w:szCs w:val="32"/>
        </w:rPr>
      </w:pPr>
      <w:r>
        <w:rPr>
          <w:rFonts w:hint="eastAsia" w:asciiTheme="minorEastAsia" w:hAnsiTheme="minorEastAsia" w:eastAsiaTheme="minorEastAsia"/>
          <w:b/>
          <w:bCs/>
          <w:snapToGrid w:val="0"/>
          <w:kern w:val="0"/>
          <w:sz w:val="32"/>
          <w:szCs w:val="32"/>
        </w:rPr>
        <w:t>采购</w:t>
      </w:r>
      <w:r>
        <w:rPr>
          <w:rFonts w:hint="eastAsia" w:cs="仿宋_GB2312" w:asciiTheme="minorEastAsia" w:hAnsiTheme="minorEastAsia" w:eastAsiaTheme="minorEastAsia"/>
          <w:b/>
          <w:bCs/>
          <w:snapToGrid w:val="0"/>
          <w:kern w:val="0"/>
          <w:sz w:val="32"/>
          <w:szCs w:val="32"/>
        </w:rPr>
        <w:t>代理机构</w:t>
      </w:r>
      <w:r>
        <w:rPr>
          <w:rFonts w:hint="eastAsia" w:asciiTheme="minorEastAsia" w:hAnsiTheme="minorEastAsia" w:eastAsiaTheme="minorEastAsia"/>
          <w:b/>
          <w:bCs/>
          <w:snapToGrid w:val="0"/>
          <w:kern w:val="0"/>
          <w:sz w:val="32"/>
          <w:szCs w:val="32"/>
        </w:rPr>
        <w:t>：浙江中诺招标代理有限公司</w:t>
      </w:r>
    </w:p>
    <w:p>
      <w:pPr>
        <w:adjustRightInd w:val="0"/>
        <w:snapToGrid w:val="0"/>
        <w:spacing w:line="360" w:lineRule="auto"/>
        <w:ind w:firstLine="1520" w:firstLineChars="473"/>
        <w:rPr>
          <w:rFonts w:asciiTheme="minorEastAsia" w:hAnsiTheme="minorEastAsia" w:eastAsiaTheme="minorEastAsia"/>
          <w:b/>
          <w:bCs/>
          <w:snapToGrid w:val="0"/>
          <w:kern w:val="0"/>
          <w:sz w:val="32"/>
          <w:szCs w:val="32"/>
        </w:rPr>
      </w:pPr>
      <w:r>
        <w:rPr>
          <w:rFonts w:hint="eastAsia" w:asciiTheme="minorEastAsia" w:hAnsiTheme="minorEastAsia" w:eastAsiaTheme="minorEastAsia"/>
          <w:b/>
          <w:bCs/>
          <w:snapToGrid w:val="0"/>
          <w:kern w:val="0"/>
          <w:sz w:val="32"/>
          <w:szCs w:val="32"/>
        </w:rPr>
        <w:t>日        期：二〇一九年十月</w:t>
      </w:r>
    </w:p>
    <w:p>
      <w:pPr>
        <w:adjustRightInd w:val="0"/>
        <w:snapToGrid w:val="0"/>
        <w:spacing w:line="360" w:lineRule="auto"/>
        <w:ind w:firstLine="1520" w:firstLineChars="473"/>
        <w:rPr>
          <w:rFonts w:asciiTheme="minorEastAsia" w:hAnsiTheme="minorEastAsia" w:eastAsiaTheme="minorEastAsia"/>
          <w:b/>
          <w:bCs/>
          <w:snapToGrid w:val="0"/>
          <w:kern w:val="0"/>
          <w:sz w:val="32"/>
          <w:szCs w:val="32"/>
        </w:rPr>
        <w:sectPr>
          <w:headerReference r:id="rId3" w:type="default"/>
          <w:pgSz w:w="11906" w:h="16838"/>
          <w:pgMar w:top="1418" w:right="1588" w:bottom="1418" w:left="1588" w:header="851" w:footer="992" w:gutter="0"/>
          <w:cols w:space="425" w:num="1"/>
          <w:docGrid w:type="lines" w:linePitch="312" w:charSpace="0"/>
        </w:sectPr>
      </w:pPr>
    </w:p>
    <w:p>
      <w:pPr>
        <w:adjustRightInd w:val="0"/>
        <w:snapToGrid w:val="0"/>
        <w:spacing w:line="360" w:lineRule="auto"/>
        <w:jc w:val="center"/>
        <w:rPr>
          <w:rFonts w:asciiTheme="minorEastAsia" w:hAnsiTheme="minorEastAsia" w:eastAsiaTheme="minorEastAsia"/>
          <w:b/>
          <w:snapToGrid w:val="0"/>
          <w:kern w:val="0"/>
          <w:sz w:val="28"/>
          <w:szCs w:val="28"/>
        </w:rPr>
      </w:pPr>
      <w:r>
        <w:rPr>
          <w:rFonts w:hint="eastAsia" w:asciiTheme="minorEastAsia" w:hAnsiTheme="minorEastAsia" w:eastAsiaTheme="minorEastAsia"/>
          <w:b/>
          <w:snapToGrid w:val="0"/>
          <w:kern w:val="0"/>
          <w:sz w:val="28"/>
          <w:szCs w:val="28"/>
        </w:rPr>
        <w:t>目    录</w:t>
      </w:r>
    </w:p>
    <w:p>
      <w:pPr>
        <w:pStyle w:val="32"/>
        <w:rPr>
          <w:rFonts w:asciiTheme="minorHAnsi" w:hAnsiTheme="minorHAnsi" w:eastAsiaTheme="minorEastAsia" w:cstheme="minorBidi"/>
          <w:bCs w:val="0"/>
          <w:caps w:val="0"/>
          <w:sz w:val="21"/>
          <w:szCs w:val="22"/>
        </w:rPr>
      </w:pPr>
      <w:r>
        <w:rPr>
          <w:rFonts w:asciiTheme="minorEastAsia" w:hAnsiTheme="minorEastAsia" w:eastAsiaTheme="minorEastAsia"/>
          <w:b/>
          <w:snapToGrid w:val="0"/>
          <w:kern w:val="0"/>
          <w:sz w:val="21"/>
          <w:szCs w:val="21"/>
        </w:rPr>
        <w:fldChar w:fldCharType="begin"/>
      </w:r>
      <w:r>
        <w:rPr>
          <w:rFonts w:hint="eastAsia" w:asciiTheme="minorEastAsia" w:hAnsiTheme="minorEastAsia" w:eastAsiaTheme="minorEastAsia"/>
          <w:b/>
          <w:snapToGrid w:val="0"/>
          <w:kern w:val="0"/>
          <w:sz w:val="21"/>
          <w:szCs w:val="21"/>
        </w:rPr>
        <w:instrText xml:space="preserve">TOC \o "1-2" \u</w:instrText>
      </w:r>
      <w:r>
        <w:rPr>
          <w:rFonts w:asciiTheme="minorEastAsia" w:hAnsiTheme="minorEastAsia" w:eastAsiaTheme="minorEastAsia"/>
          <w:b/>
          <w:snapToGrid w:val="0"/>
          <w:kern w:val="0"/>
          <w:sz w:val="21"/>
          <w:szCs w:val="21"/>
        </w:rPr>
        <w:fldChar w:fldCharType="separate"/>
      </w:r>
      <w:r>
        <w:rPr>
          <w:rFonts w:hint="eastAsia" w:asciiTheme="minorEastAsia" w:hAnsiTheme="minorEastAsia" w:eastAsiaTheme="minorEastAsia"/>
          <w:b/>
          <w:snapToGrid w:val="0"/>
          <w:kern w:val="0"/>
        </w:rPr>
        <w:t>第一部分</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市本级水旱灾害监测预警平台项目公开招标公告</w:t>
      </w:r>
      <w:r>
        <w:tab/>
      </w:r>
      <w:r>
        <w:fldChar w:fldCharType="begin"/>
      </w:r>
      <w:r>
        <w:instrText xml:space="preserve"> PAGEREF _Toc23154214 \h </w:instrText>
      </w:r>
      <w:r>
        <w:fldChar w:fldCharType="separate"/>
      </w:r>
      <w:r>
        <w:t>2</w:t>
      </w:r>
      <w:r>
        <w:fldChar w:fldCharType="end"/>
      </w:r>
    </w:p>
    <w:p>
      <w:pPr>
        <w:pStyle w:val="32"/>
        <w:rPr>
          <w:rFonts w:asciiTheme="minorHAnsi" w:hAnsiTheme="minorHAnsi" w:eastAsiaTheme="minorEastAsia" w:cstheme="minorBidi"/>
          <w:bCs w:val="0"/>
          <w:caps w:val="0"/>
          <w:sz w:val="21"/>
          <w:szCs w:val="22"/>
        </w:rPr>
      </w:pPr>
      <w:r>
        <w:rPr>
          <w:rFonts w:hint="eastAsia" w:asciiTheme="minorEastAsia" w:hAnsiTheme="minorEastAsia" w:eastAsiaTheme="minorEastAsia"/>
          <w:b/>
          <w:snapToGrid w:val="0"/>
          <w:kern w:val="0"/>
        </w:rPr>
        <w:t>第二部分</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投标须知</w:t>
      </w:r>
      <w:r>
        <w:tab/>
      </w:r>
      <w:r>
        <w:fldChar w:fldCharType="begin"/>
      </w:r>
      <w:r>
        <w:instrText xml:space="preserve"> PAGEREF _Toc23154215 \h </w:instrText>
      </w:r>
      <w:r>
        <w:fldChar w:fldCharType="separate"/>
      </w:r>
      <w:r>
        <w:t>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一、总则</w:t>
      </w:r>
      <w:r>
        <w:tab/>
      </w:r>
      <w:r>
        <w:fldChar w:fldCharType="begin"/>
      </w:r>
      <w:r>
        <w:instrText xml:space="preserve"> PAGEREF _Toc23154216 \h </w:instrText>
      </w:r>
      <w:r>
        <w:fldChar w:fldCharType="separate"/>
      </w:r>
      <w:r>
        <w:t>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bCs w:val="0"/>
          <w:lang w:val="zh-CN"/>
        </w:rPr>
        <w:t>二、招标文件</w:t>
      </w:r>
      <w:r>
        <w:tab/>
      </w:r>
      <w:r>
        <w:fldChar w:fldCharType="begin"/>
      </w:r>
      <w:r>
        <w:instrText xml:space="preserve"> PAGEREF _Toc23154217 \h </w:instrText>
      </w:r>
      <w:r>
        <w:fldChar w:fldCharType="separate"/>
      </w:r>
      <w:r>
        <w:t>10</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三、投标文件的编制</w:t>
      </w:r>
      <w:r>
        <w:tab/>
      </w:r>
      <w:r>
        <w:fldChar w:fldCharType="begin"/>
      </w:r>
      <w:r>
        <w:instrText xml:space="preserve"> PAGEREF _Toc23154218 \h </w:instrText>
      </w:r>
      <w:r>
        <w:fldChar w:fldCharType="separate"/>
      </w:r>
      <w:r>
        <w:t>11</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四、投标文件的递交</w:t>
      </w:r>
      <w:r>
        <w:tab/>
      </w:r>
      <w:r>
        <w:fldChar w:fldCharType="begin"/>
      </w:r>
      <w:r>
        <w:instrText xml:space="preserve"> PAGEREF _Toc23154219 \h </w:instrText>
      </w:r>
      <w:r>
        <w:fldChar w:fldCharType="separate"/>
      </w:r>
      <w:r>
        <w:t>15</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五、开标与评标</w:t>
      </w:r>
      <w:r>
        <w:tab/>
      </w:r>
      <w:r>
        <w:fldChar w:fldCharType="begin"/>
      </w:r>
      <w:r>
        <w:instrText xml:space="preserve"> PAGEREF _Toc23154220 \h </w:instrText>
      </w:r>
      <w:r>
        <w:fldChar w:fldCharType="separate"/>
      </w:r>
      <w:r>
        <w:t>16</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六、确定中标人及授予合同</w:t>
      </w:r>
      <w:r>
        <w:tab/>
      </w:r>
      <w:r>
        <w:fldChar w:fldCharType="begin"/>
      </w:r>
      <w:r>
        <w:instrText xml:space="preserve"> PAGEREF _Toc23154221 \h </w:instrText>
      </w:r>
      <w:r>
        <w:fldChar w:fldCharType="separate"/>
      </w:r>
      <w:r>
        <w:t>19</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七、质疑与投诉</w:t>
      </w:r>
      <w:r>
        <w:tab/>
      </w:r>
      <w:r>
        <w:fldChar w:fldCharType="begin"/>
      </w:r>
      <w:r>
        <w:instrText xml:space="preserve"> PAGEREF _Toc23154222 \h </w:instrText>
      </w:r>
      <w:r>
        <w:fldChar w:fldCharType="separate"/>
      </w:r>
      <w:r>
        <w:t>21</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八、解释权</w:t>
      </w:r>
      <w:r>
        <w:tab/>
      </w:r>
      <w:r>
        <w:fldChar w:fldCharType="begin"/>
      </w:r>
      <w:r>
        <w:instrText xml:space="preserve"> PAGEREF _Toc23154223 \h </w:instrText>
      </w:r>
      <w:r>
        <w:fldChar w:fldCharType="separate"/>
      </w:r>
      <w:r>
        <w:t>22</w:t>
      </w:r>
      <w:r>
        <w:fldChar w:fldCharType="end"/>
      </w:r>
    </w:p>
    <w:p>
      <w:pPr>
        <w:pStyle w:val="32"/>
        <w:rPr>
          <w:rFonts w:asciiTheme="minorHAnsi" w:hAnsiTheme="minorHAnsi" w:eastAsiaTheme="minorEastAsia" w:cstheme="minorBidi"/>
          <w:bCs w:val="0"/>
          <w:caps w:val="0"/>
          <w:sz w:val="21"/>
          <w:szCs w:val="22"/>
        </w:rPr>
      </w:pPr>
      <w:r>
        <w:rPr>
          <w:rFonts w:hint="eastAsia" w:asciiTheme="minorEastAsia" w:hAnsiTheme="minorEastAsia" w:eastAsiaTheme="minorEastAsia"/>
          <w:b/>
          <w:snapToGrid w:val="0"/>
          <w:kern w:val="0"/>
        </w:rPr>
        <w:t>第三部分</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用户需求书</w:t>
      </w:r>
      <w:r>
        <w:tab/>
      </w:r>
      <w:r>
        <w:fldChar w:fldCharType="begin"/>
      </w:r>
      <w:r>
        <w:instrText xml:space="preserve"> PAGEREF _Toc23154224 \h </w:instrText>
      </w:r>
      <w:r>
        <w:fldChar w:fldCharType="separate"/>
      </w:r>
      <w:r>
        <w:t>23</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一、系统数据环境分析及数据库建设</w:t>
      </w:r>
      <w:r>
        <w:tab/>
      </w:r>
      <w:r>
        <w:fldChar w:fldCharType="begin"/>
      </w:r>
      <w:r>
        <w:instrText xml:space="preserve"> PAGEREF _Toc23154225 \h </w:instrText>
      </w:r>
      <w:r>
        <w:fldChar w:fldCharType="separate"/>
      </w:r>
      <w:r>
        <w:t>23</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二、水雨情数据历史对比分析及共享服务</w:t>
      </w:r>
      <w:r>
        <w:tab/>
      </w:r>
      <w:r>
        <w:fldChar w:fldCharType="begin"/>
      </w:r>
      <w:r>
        <w:instrText xml:space="preserve"> PAGEREF _Toc23154226 \h </w:instrText>
      </w:r>
      <w:r>
        <w:fldChar w:fldCharType="separate"/>
      </w:r>
      <w:r>
        <w:t>23</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三、降雨空间分布分析动态展示及共享服务</w:t>
      </w:r>
      <w:r>
        <w:tab/>
      </w:r>
      <w:r>
        <w:fldChar w:fldCharType="begin"/>
      </w:r>
      <w:r>
        <w:instrText xml:space="preserve"> PAGEREF _Toc23154227 \h </w:instrText>
      </w:r>
      <w:r>
        <w:fldChar w:fldCharType="separate"/>
      </w:r>
      <w:r>
        <w:t>25</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四、水雨情信息综合展示</w:t>
      </w:r>
      <w:r>
        <w:tab/>
      </w:r>
      <w:r>
        <w:fldChar w:fldCharType="begin"/>
      </w:r>
      <w:r>
        <w:instrText xml:space="preserve"> PAGEREF _Toc23154228 \h </w:instrText>
      </w:r>
      <w:r>
        <w:fldChar w:fldCharType="separate"/>
      </w:r>
      <w:r>
        <w:t>26</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五、水情报表及综合报告生成系统</w:t>
      </w:r>
      <w:r>
        <w:tab/>
      </w:r>
      <w:r>
        <w:fldChar w:fldCharType="begin"/>
      </w:r>
      <w:r>
        <w:instrText xml:space="preserve"> PAGEREF _Toc23154229 \h </w:instrText>
      </w:r>
      <w:r>
        <w:fldChar w:fldCharType="separate"/>
      </w:r>
      <w:r>
        <w:t>27</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六、水情快报发布及汇报系统</w:t>
      </w:r>
      <w:r>
        <w:tab/>
      </w:r>
      <w:r>
        <w:fldChar w:fldCharType="begin"/>
      </w:r>
      <w:r>
        <w:instrText xml:space="preserve"> PAGEREF _Toc23154230 \h </w:instrText>
      </w:r>
      <w:r>
        <w:fldChar w:fldCharType="separate"/>
      </w:r>
      <w:r>
        <w:t>28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七、水旱灾害防御管理系统</w:t>
      </w:r>
      <w:r>
        <w:tab/>
      </w:r>
      <w:r>
        <w:fldChar w:fldCharType="begin"/>
      </w:r>
      <w:r>
        <w:instrText xml:space="preserve"> PAGEREF _Toc23154231 \h </w:instrText>
      </w:r>
      <w:r>
        <w:fldChar w:fldCharType="separate"/>
      </w:r>
      <w:r>
        <w:t>29</w:t>
      </w:r>
      <w:r>
        <w:fldChar w:fldCharType="end"/>
      </w:r>
    </w:p>
    <w:p>
      <w:pPr>
        <w:pStyle w:val="32"/>
        <w:rPr>
          <w:rFonts w:asciiTheme="minorHAnsi" w:hAnsiTheme="minorHAnsi" w:eastAsiaTheme="minorEastAsia" w:cstheme="minorBidi"/>
          <w:bCs w:val="0"/>
          <w:caps w:val="0"/>
          <w:sz w:val="21"/>
          <w:szCs w:val="22"/>
        </w:rPr>
      </w:pPr>
      <w:r>
        <w:rPr>
          <w:rFonts w:hint="eastAsia" w:asciiTheme="minorEastAsia" w:hAnsiTheme="minorEastAsia" w:eastAsiaTheme="minorEastAsia"/>
          <w:b/>
          <w:snapToGrid w:val="0"/>
          <w:kern w:val="0"/>
        </w:rPr>
        <w:t>第四部分</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合同条款</w:t>
      </w:r>
      <w:r>
        <w:tab/>
      </w:r>
      <w:r>
        <w:fldChar w:fldCharType="begin"/>
      </w:r>
      <w:r>
        <w:instrText xml:space="preserve"> PAGEREF _Toc23154232 \h </w:instrText>
      </w:r>
      <w:r>
        <w:fldChar w:fldCharType="separate"/>
      </w:r>
      <w:r>
        <w:t>32</w:t>
      </w:r>
      <w:r>
        <w:fldChar w:fldCharType="end"/>
      </w:r>
    </w:p>
    <w:p>
      <w:pPr>
        <w:pStyle w:val="32"/>
        <w:rPr>
          <w:rFonts w:asciiTheme="minorHAnsi" w:hAnsiTheme="minorHAnsi" w:eastAsiaTheme="minorEastAsia" w:cstheme="minorBidi"/>
          <w:bCs w:val="0"/>
          <w:caps w:val="0"/>
          <w:sz w:val="21"/>
          <w:szCs w:val="22"/>
        </w:rPr>
      </w:pPr>
      <w:r>
        <w:rPr>
          <w:rFonts w:hint="eastAsia" w:asciiTheme="minorEastAsia" w:hAnsiTheme="minorEastAsia" w:eastAsiaTheme="minorEastAsia"/>
          <w:b/>
          <w:snapToGrid w:val="0"/>
          <w:kern w:val="0"/>
        </w:rPr>
        <w:t>第五部分评标办法</w:t>
      </w:r>
      <w:r>
        <w:rPr>
          <w:rFonts w:hint="eastAsia" w:asciiTheme="minorEastAsia" w:hAnsiTheme="minorEastAsia" w:eastAsiaTheme="minorEastAsia"/>
          <w:snapToGrid w:val="0"/>
          <w:kern w:val="0"/>
        </w:rPr>
        <w:t>（综合评分法）</w:t>
      </w:r>
      <w:r>
        <w:tab/>
      </w:r>
      <w:r>
        <w:fldChar w:fldCharType="begin"/>
      </w:r>
      <w:r>
        <w:instrText xml:space="preserve"> PAGEREF _Toc23154233 \h </w:instrText>
      </w:r>
      <w:r>
        <w:fldChar w:fldCharType="separate"/>
      </w:r>
      <w:r>
        <w:t>38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一、总则</w:t>
      </w:r>
      <w:r>
        <w:tab/>
      </w:r>
      <w:r>
        <w:fldChar w:fldCharType="begin"/>
      </w:r>
      <w:r>
        <w:instrText xml:space="preserve"> PAGEREF _Toc23154234 \h </w:instrText>
      </w:r>
      <w:r>
        <w:fldChar w:fldCharType="separate"/>
      </w:r>
      <w:r>
        <w:t>38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二、评标组织</w:t>
      </w:r>
      <w:r>
        <w:tab/>
      </w:r>
      <w:r>
        <w:fldChar w:fldCharType="begin"/>
      </w:r>
      <w:r>
        <w:instrText xml:space="preserve"> PAGEREF _Toc23154235 \h </w:instrText>
      </w:r>
      <w:r>
        <w:fldChar w:fldCharType="separate"/>
      </w:r>
      <w:r>
        <w:t>38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三、评标纪律</w:t>
      </w:r>
      <w:r>
        <w:tab/>
      </w:r>
      <w:r>
        <w:fldChar w:fldCharType="begin"/>
      </w:r>
      <w:r>
        <w:instrText xml:space="preserve"> PAGEREF _Toc23154236 \h </w:instrText>
      </w:r>
      <w:r>
        <w:fldChar w:fldCharType="separate"/>
      </w:r>
      <w:r>
        <w:t>38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四、评标细则及标准</w:t>
      </w:r>
      <w:r>
        <w:tab/>
      </w:r>
      <w:r>
        <w:fldChar w:fldCharType="begin"/>
      </w:r>
      <w:r>
        <w:instrText xml:space="preserve"> PAGEREF _Toc23154237 \h </w:instrText>
      </w:r>
      <w:r>
        <w:fldChar w:fldCharType="separate"/>
      </w:r>
      <w:r>
        <w:t>39</w:t>
      </w:r>
      <w:r>
        <w:fldChar w:fldCharType="end"/>
      </w:r>
    </w:p>
    <w:p>
      <w:pPr>
        <w:pStyle w:val="32"/>
        <w:rPr>
          <w:rFonts w:asciiTheme="minorHAnsi" w:hAnsiTheme="minorHAnsi" w:eastAsiaTheme="minorEastAsia" w:cstheme="minorBidi"/>
          <w:bCs w:val="0"/>
          <w:caps w:val="0"/>
          <w:sz w:val="21"/>
          <w:szCs w:val="22"/>
        </w:rPr>
      </w:pPr>
      <w:r>
        <w:rPr>
          <w:rFonts w:hint="eastAsia" w:asciiTheme="minorEastAsia" w:hAnsiTheme="minorEastAsia" w:eastAsiaTheme="minorEastAsia"/>
          <w:b/>
          <w:snapToGrid w:val="0"/>
          <w:kern w:val="0"/>
        </w:rPr>
        <w:t>第六部分投标文件格式</w:t>
      </w:r>
      <w:r>
        <w:tab/>
      </w:r>
      <w:r>
        <w:fldChar w:fldCharType="begin"/>
      </w:r>
      <w:r>
        <w:instrText xml:space="preserve"> PAGEREF _Toc23154238 \h </w:instrText>
      </w:r>
      <w:r>
        <w:fldChar w:fldCharType="separate"/>
      </w:r>
      <w:r>
        <w:t>43</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一、资格文件部分</w:t>
      </w:r>
      <w:r>
        <w:tab/>
      </w:r>
      <w:r>
        <w:fldChar w:fldCharType="begin"/>
      </w:r>
      <w:r>
        <w:instrText xml:space="preserve"> PAGEREF _Toc23154239 \h </w:instrText>
      </w:r>
      <w:r>
        <w:fldChar w:fldCharType="separate"/>
      </w:r>
      <w:r>
        <w:t>44</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二、报价文件</w:t>
      </w:r>
      <w:r>
        <w:tab/>
      </w:r>
      <w:r>
        <w:fldChar w:fldCharType="begin"/>
      </w:r>
      <w:r>
        <w:instrText xml:space="preserve"> PAGEREF _Toc23154240 \h </w:instrText>
      </w:r>
      <w:r>
        <w:fldChar w:fldCharType="separate"/>
      </w:r>
      <w:r>
        <w:t>51</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三、商务文件</w:t>
      </w:r>
      <w:r>
        <w:tab/>
      </w:r>
      <w:r>
        <w:fldChar w:fldCharType="begin"/>
      </w:r>
      <w:r>
        <w:instrText xml:space="preserve"> PAGEREF _Toc23154241 \h </w:instrText>
      </w:r>
      <w:r>
        <w:fldChar w:fldCharType="separate"/>
      </w:r>
      <w:r>
        <w:t>58</w:t>
      </w:r>
      <w:r>
        <w:fldChar w:fldCharType="end"/>
      </w:r>
    </w:p>
    <w:p>
      <w:pPr>
        <w:pStyle w:val="38"/>
        <w:rPr>
          <w:rFonts w:asciiTheme="minorHAnsi" w:hAnsiTheme="minorHAnsi" w:eastAsiaTheme="minorEastAsia" w:cstheme="minorBidi"/>
          <w:bCs w:val="0"/>
          <w:smallCaps w:val="0"/>
          <w:snapToGrid/>
          <w:kern w:val="2"/>
          <w:sz w:val="21"/>
          <w:szCs w:val="22"/>
        </w:rPr>
      </w:pPr>
      <w:r>
        <w:rPr>
          <w:rFonts w:hint="eastAsia" w:asciiTheme="minorEastAsia" w:hAnsiTheme="minorEastAsia" w:eastAsiaTheme="minorEastAsia"/>
        </w:rPr>
        <w:t>四、技术文件</w:t>
      </w:r>
      <w:r>
        <w:tab/>
      </w:r>
      <w:r>
        <w:fldChar w:fldCharType="begin"/>
      </w:r>
      <w:r>
        <w:instrText xml:space="preserve"> PAGEREF _Toc23154242 \h </w:instrText>
      </w:r>
      <w:r>
        <w:fldChar w:fldCharType="separate"/>
      </w:r>
      <w:r>
        <w:t>63</w:t>
      </w:r>
      <w:r>
        <w:fldChar w:fldCharType="end"/>
      </w:r>
    </w:p>
    <w:p>
      <w:pPr>
        <w:adjustRightInd w:val="0"/>
        <w:snapToGrid w:val="0"/>
        <w:spacing w:line="360" w:lineRule="auto"/>
        <w:jc w:val="center"/>
        <w:rPr>
          <w:rFonts w:asciiTheme="minorEastAsia" w:hAnsiTheme="minorEastAsia" w:eastAsiaTheme="minorEastAsia"/>
          <w:snapToGrid w:val="0"/>
          <w:kern w:val="0"/>
          <w:szCs w:val="21"/>
        </w:rPr>
        <w:sectPr>
          <w:headerReference r:id="rId4" w:type="default"/>
          <w:footerReference r:id="rId5" w:type="default"/>
          <w:pgSz w:w="11906" w:h="16838"/>
          <w:pgMar w:top="1418" w:right="1588" w:bottom="1418" w:left="1588" w:header="851" w:footer="992" w:gutter="0"/>
          <w:pgNumType w:start="1"/>
          <w:cols w:space="425" w:num="1"/>
          <w:docGrid w:type="lines" w:linePitch="312" w:charSpace="0"/>
        </w:sectPr>
      </w:pPr>
      <w:r>
        <w:rPr>
          <w:rFonts w:asciiTheme="minorEastAsia" w:hAnsiTheme="minorEastAsia" w:eastAsiaTheme="minorEastAsia"/>
          <w:snapToGrid w:val="0"/>
          <w:kern w:val="0"/>
          <w:szCs w:val="21"/>
        </w:rPr>
        <w:fldChar w:fldCharType="end"/>
      </w:r>
    </w:p>
    <w:p>
      <w:pPr>
        <w:adjustRightInd w:val="0"/>
        <w:snapToGrid w:val="0"/>
        <w:spacing w:line="360" w:lineRule="auto"/>
        <w:jc w:val="center"/>
        <w:outlineLvl w:val="0"/>
        <w:rPr>
          <w:rFonts w:asciiTheme="minorEastAsia" w:hAnsiTheme="minorEastAsia" w:eastAsiaTheme="minorEastAsia"/>
          <w:b/>
          <w:snapToGrid w:val="0"/>
          <w:kern w:val="0"/>
          <w:sz w:val="24"/>
        </w:rPr>
      </w:pPr>
      <w:bookmarkStart w:id="0" w:name="_Toc23154214"/>
      <w:r>
        <w:rPr>
          <w:rFonts w:hint="eastAsia" w:asciiTheme="minorEastAsia" w:hAnsiTheme="minorEastAsia" w:eastAsiaTheme="minorEastAsia"/>
          <w:b/>
          <w:snapToGrid w:val="0"/>
          <w:kern w:val="0"/>
          <w:sz w:val="24"/>
        </w:rPr>
        <w:t>第一部分  市本级水旱灾害监测预警平台项目公开招标公告</w:t>
      </w:r>
      <w:bookmarkEnd w:id="0"/>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w:t>
      </w:r>
      <w:bookmarkStart w:id="173" w:name="_GoBack"/>
      <w:r>
        <w:rPr>
          <w:rFonts w:hint="eastAsia" w:cs="宋体" w:asciiTheme="minorEastAsia" w:hAnsiTheme="minorEastAsia" w:eastAsiaTheme="minorEastAsia"/>
          <w:kern w:val="0"/>
          <w:szCs w:val="21"/>
        </w:rPr>
        <w:t>《中华人民共和国政府采购法》</w:t>
      </w:r>
      <w:bookmarkEnd w:id="173"/>
      <w:r>
        <w:rPr>
          <w:rFonts w:hint="eastAsia" w:cs="宋体" w:asciiTheme="minorEastAsia" w:hAnsiTheme="minorEastAsia" w:eastAsiaTheme="minorEastAsia"/>
          <w:kern w:val="0"/>
          <w:szCs w:val="21"/>
        </w:rPr>
        <w:t xml:space="preserve">等有关规定，浙江中诺招标代理有限公司受杭州市水文水资源监测总站委托，就市本级水旱灾害监测预警平台建设项目进行公开招标，欢迎国内合格的供应商前来投标。 </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一、采购项目编号：ZJZN-19144</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二、项目名称：市本级水旱灾害监测预警平台建设项目</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三、采购方式：公开招标</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四、招标项目概况（内容、用途、数量、简要技术要求等）：</w:t>
      </w:r>
    </w:p>
    <w:tbl>
      <w:tblPr>
        <w:tblStyle w:val="45"/>
        <w:tblW w:w="88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831"/>
        <w:gridCol w:w="707"/>
        <w:gridCol w:w="682"/>
        <w:gridCol w:w="1303"/>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40"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2831" w:type="dxa"/>
            <w:shd w:val="clear" w:color="auto" w:fill="auto"/>
            <w:vAlign w:val="center"/>
          </w:tcPr>
          <w:p>
            <w:pPr>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招标内容</w:t>
            </w:r>
          </w:p>
        </w:tc>
        <w:tc>
          <w:tcPr>
            <w:tcW w:w="707"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采购数量</w:t>
            </w:r>
          </w:p>
        </w:tc>
        <w:tc>
          <w:tcPr>
            <w:tcW w:w="682"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单位</w:t>
            </w:r>
          </w:p>
        </w:tc>
        <w:tc>
          <w:tcPr>
            <w:tcW w:w="1303"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预算总金额(元)</w:t>
            </w:r>
          </w:p>
        </w:tc>
        <w:tc>
          <w:tcPr>
            <w:tcW w:w="1701"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简要技术要求、用途</w:t>
            </w:r>
          </w:p>
        </w:tc>
        <w:tc>
          <w:tcPr>
            <w:tcW w:w="1134"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采购内</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容备注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540" w:type="dxa"/>
            <w:shd w:val="clear" w:color="auto" w:fill="auto"/>
            <w:vAlign w:val="center"/>
          </w:tcPr>
          <w:p>
            <w:pPr>
              <w:pStyle w:val="20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2831" w:type="dxa"/>
            <w:shd w:val="clear" w:color="auto" w:fill="auto"/>
            <w:vAlign w:val="center"/>
          </w:tcPr>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市本级水旱灾害监测预警平台建设</w:t>
            </w:r>
          </w:p>
        </w:tc>
        <w:tc>
          <w:tcPr>
            <w:tcW w:w="707" w:type="dxa"/>
            <w:shd w:val="clear" w:color="auto" w:fill="auto"/>
            <w:vAlign w:val="center"/>
          </w:tcPr>
          <w:p>
            <w:pPr>
              <w:pStyle w:val="20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682" w:type="dxa"/>
            <w:shd w:val="clear" w:color="auto" w:fill="auto"/>
            <w:vAlign w:val="center"/>
          </w:tcPr>
          <w:p>
            <w:pPr>
              <w:pStyle w:val="20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heme="minorEastAsia" w:hAnsiTheme="minorEastAsia" w:eastAsiaTheme="minorEastAsia"/>
                <w:b/>
                <w:szCs w:val="21"/>
              </w:rPr>
            </w:pPr>
            <w:r>
              <w:rPr>
                <w:rFonts w:hint="eastAsia" w:asciiTheme="minorEastAsia" w:hAnsiTheme="minorEastAsia" w:eastAsiaTheme="minorEastAsia"/>
                <w:b/>
                <w:szCs w:val="21"/>
              </w:rPr>
              <w:t>套</w:t>
            </w:r>
          </w:p>
        </w:tc>
        <w:tc>
          <w:tcPr>
            <w:tcW w:w="1303" w:type="dxa"/>
            <w:shd w:val="clear" w:color="auto" w:fill="auto"/>
            <w:vAlign w:val="center"/>
          </w:tcPr>
          <w:p>
            <w:pPr>
              <w:pStyle w:val="205"/>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napToGrid w:val="0"/>
              <w:spacing w:line="400" w:lineRule="exact"/>
              <w:ind w:left="0" w:firstLine="0"/>
              <w:rPr>
                <w:rFonts w:asciiTheme="minorEastAsia" w:hAnsiTheme="minorEastAsia" w:eastAsiaTheme="minorEastAsia"/>
                <w:b/>
                <w:szCs w:val="21"/>
              </w:rPr>
            </w:pPr>
            <w:r>
              <w:rPr>
                <w:rFonts w:hint="eastAsia" w:asciiTheme="minorEastAsia" w:hAnsiTheme="minorEastAsia" w:eastAsiaTheme="minorEastAsia"/>
                <w:b/>
                <w:szCs w:val="21"/>
              </w:rPr>
              <w:t>600000.00</w:t>
            </w:r>
          </w:p>
        </w:tc>
        <w:tc>
          <w:tcPr>
            <w:tcW w:w="1701" w:type="dxa"/>
            <w:shd w:val="clear" w:color="auto" w:fill="auto"/>
            <w:vAlign w:val="center"/>
          </w:tcPr>
          <w:p>
            <w:pPr>
              <w:widowControl/>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详见第三部分“用户需求书”</w:t>
            </w:r>
          </w:p>
        </w:tc>
        <w:tc>
          <w:tcPr>
            <w:tcW w:w="1134" w:type="dxa"/>
            <w:shd w:val="clear" w:color="auto" w:fill="auto"/>
            <w:vAlign w:val="center"/>
          </w:tcPr>
          <w:p>
            <w:pPr>
              <w:widowControl/>
              <w:jc w:val="left"/>
              <w:rPr>
                <w:rFonts w:asciiTheme="minorEastAsia" w:hAnsiTheme="minorEastAsia" w:eastAsiaTheme="minorEastAsia"/>
                <w:b/>
                <w:kern w:val="0"/>
                <w:sz w:val="20"/>
                <w:szCs w:val="20"/>
              </w:rPr>
            </w:pPr>
          </w:p>
        </w:tc>
      </w:tr>
    </w:tbl>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五、投标供应商资格要求：</w:t>
      </w:r>
    </w:p>
    <w:p>
      <w:pPr>
        <w:adjustRightInd w:val="0"/>
        <w:snapToGri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1）基本资格条件：符合《中华人民共和国政府采购法》第二十二条的规定； </w:t>
      </w:r>
    </w:p>
    <w:p>
      <w:pPr>
        <w:adjustRightInd w:val="0"/>
        <w:snapToGri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（2）未被“信用中国”（www.creditchina.gov.cn）、中国政府采购网（www.ccgp.gov.cn）列入失信被执行人、重大税收违法案件当事人名单、政府采购严重违法失信行为记录名单 </w:t>
      </w:r>
    </w:p>
    <w:p>
      <w:pPr>
        <w:adjustRightInd w:val="0"/>
        <w:snapToGri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（3）特定资格条件：本项目不接受联合体投标。</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六、供应商报名时间及地点等：</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采购文件发售时间：2019-10 -28   至2019- 11-01   （双休日及法定节假日除外）</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上午：</w:t>
      </w:r>
      <w:bookmarkStart w:id="1" w:name="OLE_LINK24"/>
      <w:bookmarkStart w:id="2" w:name="OLE_LINK22"/>
      <w:bookmarkStart w:id="3" w:name="OLE_LINK23"/>
      <w:r>
        <w:rPr>
          <w:rFonts w:hint="eastAsia" w:cs="宋体" w:asciiTheme="minorEastAsia" w:hAnsiTheme="minorEastAsia" w:eastAsiaTheme="minorEastAsia"/>
          <w:kern w:val="0"/>
          <w:szCs w:val="21"/>
        </w:rPr>
        <w:t>9:00-11:30</w:t>
      </w:r>
      <w:bookmarkEnd w:id="1"/>
      <w:bookmarkEnd w:id="2"/>
      <w:bookmarkEnd w:id="3"/>
      <w:r>
        <w:rPr>
          <w:rFonts w:hint="eastAsia" w:cs="宋体" w:asciiTheme="minorEastAsia" w:hAnsiTheme="minorEastAsia" w:eastAsiaTheme="minorEastAsia"/>
          <w:kern w:val="0"/>
          <w:szCs w:val="21"/>
        </w:rPr>
        <w:t xml:space="preserve"> 下午：</w:t>
      </w:r>
      <w:bookmarkStart w:id="4" w:name="OLE_LINK26"/>
      <w:bookmarkStart w:id="5" w:name="OLE_LINK25"/>
      <w:r>
        <w:rPr>
          <w:rFonts w:hint="eastAsia" w:cs="宋体" w:asciiTheme="minorEastAsia" w:hAnsiTheme="minorEastAsia" w:eastAsiaTheme="minorEastAsia"/>
          <w:kern w:val="0"/>
          <w:szCs w:val="21"/>
        </w:rPr>
        <w:t>13:30-17:00</w:t>
      </w:r>
      <w:bookmarkEnd w:id="4"/>
      <w:bookmarkEnd w:id="5"/>
    </w:p>
    <w:p>
      <w:pPr>
        <w:widowControl/>
        <w:snapToGrid w:val="0"/>
        <w:spacing w:line="360" w:lineRule="auto"/>
        <w:ind w:firstLine="480"/>
        <w:jc w:val="left"/>
        <w:rPr>
          <w:rFonts w:cs="宋体" w:asciiTheme="minorEastAsia" w:hAnsiTheme="minorEastAsia" w:eastAsiaTheme="minorEastAsia"/>
          <w:b/>
          <w:bCs/>
          <w:kern w:val="0"/>
          <w:szCs w:val="21"/>
        </w:rPr>
      </w:pPr>
      <w:r>
        <w:rPr>
          <w:rFonts w:hint="eastAsia" w:cs="宋体" w:asciiTheme="minorEastAsia" w:hAnsiTheme="minorEastAsia" w:eastAsiaTheme="minorEastAsia"/>
          <w:kern w:val="0"/>
          <w:szCs w:val="21"/>
        </w:rPr>
        <w:t>地点：</w:t>
      </w:r>
      <w:r>
        <w:rPr>
          <w:rFonts w:hint="eastAsia" w:cs="宋体" w:asciiTheme="minorEastAsia" w:hAnsiTheme="minorEastAsia" w:eastAsiaTheme="minorEastAsia"/>
          <w:b/>
          <w:bCs/>
          <w:kern w:val="0"/>
          <w:szCs w:val="21"/>
        </w:rPr>
        <w:t>杭州市下城区环城北路141号永通信息广场西楼10楼</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标书售价：每本500.00元（售后不退）</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缴纳方式：现金</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银行账户名称：浙江中诺招标代理有限公司</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开户银行：中信银行杭州玉泉支行</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银行账号：8110801012600973488</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供应商报名方式：现场报名</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获取标书时须提交的文件资料：</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 在线报名需提交的文件资料:无。</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 现场报名需提交的文件资料:</w:t>
      </w:r>
      <w:bookmarkStart w:id="6" w:name="OLE_LINK27"/>
      <w:bookmarkStart w:id="7" w:name="OLE_LINK28"/>
      <w:r>
        <w:rPr>
          <w:rFonts w:hint="eastAsia" w:cs="宋体" w:asciiTheme="minorEastAsia" w:hAnsiTheme="minorEastAsia" w:eastAsiaTheme="minorEastAsia"/>
          <w:kern w:val="0"/>
          <w:szCs w:val="21"/>
        </w:rPr>
        <w:t>有效的营业执照复印件、法定代表人委托书或介绍信、相关资质证书等（均需加盖公章）</w:t>
      </w:r>
      <w:bookmarkEnd w:id="6"/>
      <w:bookmarkEnd w:id="7"/>
      <w:r>
        <w:rPr>
          <w:rFonts w:hint="eastAsia" w:cs="宋体" w:asciiTheme="minorEastAsia" w:hAnsiTheme="minorEastAsia" w:eastAsiaTheme="minorEastAsia"/>
          <w:kern w:val="0"/>
          <w:szCs w:val="21"/>
        </w:rPr>
        <w:t>。</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提示：</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（1）采购机构将拒绝接受非报名供应商的投标文件。</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pPr>
        <w:widowControl/>
        <w:snapToGrid w:val="0"/>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b/>
          <w:bCs/>
          <w:kern w:val="0"/>
          <w:szCs w:val="21"/>
        </w:rPr>
        <w:t>七、投标截止时间：</w:t>
      </w:r>
      <w:r>
        <w:rPr>
          <w:rFonts w:hint="eastAsia" w:cs="宋体" w:asciiTheme="minorEastAsia" w:hAnsiTheme="minorEastAsia" w:eastAsiaTheme="minorEastAsia"/>
          <w:b/>
          <w:kern w:val="0"/>
          <w:szCs w:val="21"/>
        </w:rPr>
        <w:t>2019- 11 -18</w:t>
      </w:r>
      <w:r>
        <w:rPr>
          <w:rFonts w:cs="宋体" w:asciiTheme="minorEastAsia" w:hAnsiTheme="minorEastAsia" w:eastAsiaTheme="minorEastAsia"/>
          <w:b/>
          <w:kern w:val="0"/>
          <w:szCs w:val="21"/>
        </w:rPr>
        <w:t xml:space="preserve">     </w:t>
      </w:r>
      <w:r>
        <w:rPr>
          <w:rFonts w:hint="eastAsia" w:cs="宋体" w:asciiTheme="minorEastAsia" w:hAnsiTheme="minorEastAsia" w:eastAsiaTheme="minorEastAsia"/>
          <w:b/>
          <w:bCs/>
          <w:kern w:val="0"/>
          <w:szCs w:val="21"/>
        </w:rPr>
        <w:t>14:00:00</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八、投标地点：浙江中诺招标代理有限公司（杭州市下城区环城北路141号永通信息广场西楼10楼）会议室。</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九、开标时间：</w:t>
      </w:r>
      <w:r>
        <w:rPr>
          <w:rFonts w:hint="eastAsia" w:cs="宋体" w:asciiTheme="minorEastAsia" w:hAnsiTheme="minorEastAsia" w:eastAsiaTheme="minorEastAsia"/>
          <w:b/>
          <w:kern w:val="0"/>
          <w:szCs w:val="21"/>
        </w:rPr>
        <w:t xml:space="preserve">2019-  11 </w:t>
      </w:r>
      <w:r>
        <w:rPr>
          <w:rFonts w:cs="宋体" w:asciiTheme="minorEastAsia" w:hAnsiTheme="minorEastAsia" w:eastAsiaTheme="minorEastAsia"/>
          <w:b/>
          <w:kern w:val="0"/>
          <w:szCs w:val="21"/>
        </w:rPr>
        <w:t>–</w:t>
      </w:r>
      <w:r>
        <w:rPr>
          <w:rFonts w:hint="eastAsia" w:cs="宋体" w:asciiTheme="minorEastAsia" w:hAnsiTheme="minorEastAsia" w:eastAsiaTheme="minorEastAsia"/>
          <w:b/>
          <w:kern w:val="0"/>
          <w:szCs w:val="21"/>
        </w:rPr>
        <w:t xml:space="preserve"> 18</w:t>
      </w:r>
      <w:r>
        <w:rPr>
          <w:rFonts w:cs="宋体" w:asciiTheme="minorEastAsia" w:hAnsiTheme="minorEastAsia" w:eastAsiaTheme="minorEastAsia"/>
          <w:b/>
          <w:kern w:val="0"/>
          <w:szCs w:val="21"/>
        </w:rPr>
        <w:t xml:space="preserve">  </w:t>
      </w:r>
      <w:r>
        <w:rPr>
          <w:rFonts w:hint="eastAsia" w:cs="宋体" w:asciiTheme="minorEastAsia" w:hAnsiTheme="minorEastAsia" w:eastAsiaTheme="minorEastAsia"/>
          <w:b/>
          <w:kern w:val="0"/>
          <w:szCs w:val="21"/>
        </w:rPr>
        <w:t xml:space="preserve"> </w:t>
      </w:r>
      <w:r>
        <w:rPr>
          <w:rFonts w:hint="eastAsia" w:cs="宋体" w:asciiTheme="minorEastAsia" w:hAnsiTheme="minorEastAsia" w:eastAsiaTheme="minorEastAsia"/>
          <w:b/>
          <w:bCs/>
          <w:kern w:val="0"/>
          <w:szCs w:val="21"/>
        </w:rPr>
        <w:t xml:space="preserve"> 14:00:00</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十、开标地点：浙江中诺招标代理有限公司（杭州市下城区环城北路141号永通信息广场西楼10楼）会议室。</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十一、质疑和投诉：</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十二、其他事项：</w:t>
      </w:r>
    </w:p>
    <w:p>
      <w:pPr>
        <w:adjustRightInd w:val="0"/>
        <w:snapToGrid w:val="0"/>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1、潜在供应商可在浙江政府采购网（http://ccgp-zhejiang.gov.cn）进行免费注册，具体详见浙江政府采购网供应商注册要求，中标供应商应在合同签订前完成注册并成为正式注册供应商；</w:t>
      </w:r>
    </w:p>
    <w:p>
      <w:pPr>
        <w:adjustRightInd w:val="0"/>
        <w:snapToGrid w:val="0"/>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2、采购项目需要落实的政府采购政策：</w:t>
      </w:r>
    </w:p>
    <w:p>
      <w:pPr>
        <w:adjustRightInd w:val="0"/>
        <w:snapToGrid w:val="0"/>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（1）《节能产品政府采购实施意见》（财库[2004]185号）； </w:t>
      </w:r>
    </w:p>
    <w:p>
      <w:pPr>
        <w:adjustRightInd w:val="0"/>
        <w:snapToGrid w:val="0"/>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（2）《关于环境标志产品政府采购实施的意见》（财库[2006]90号）； </w:t>
      </w:r>
    </w:p>
    <w:p>
      <w:pPr>
        <w:adjustRightInd w:val="0"/>
        <w:snapToGrid w:val="0"/>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（3）《政府采购促进中小企业发展暂行办法》（财库[2011]181号）； </w:t>
      </w:r>
    </w:p>
    <w:p>
      <w:pPr>
        <w:adjustRightInd w:val="0"/>
        <w:snapToGrid w:val="0"/>
        <w:spacing w:line="360" w:lineRule="auto"/>
        <w:ind w:firstLine="315" w:firstLineChars="15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（4）《关于促进残疾人就业政府采购政策的通知》财库〔2017〕141号；</w:t>
      </w:r>
    </w:p>
    <w:p>
      <w:pPr>
        <w:widowControl/>
        <w:snapToGrid w:val="0"/>
        <w:spacing w:line="360" w:lineRule="auto"/>
        <w:jc w:val="left"/>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十三、联系方式：</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1、采购人联系方式：</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采购单位名称:杭州市水文水资源监测总站</w:t>
      </w:r>
    </w:p>
    <w:p>
      <w:pPr>
        <w:adjustRightInd w:val="0"/>
        <w:snapToGrid w:val="0"/>
        <w:spacing w:line="360" w:lineRule="auto"/>
        <w:ind w:firstLine="420" w:firstLineChars="200"/>
        <w:rPr>
          <w:rFonts w:ascii="宋体" w:hAnsi="宋体"/>
          <w:snapToGrid w:val="0"/>
          <w:kern w:val="0"/>
          <w:szCs w:val="21"/>
        </w:rPr>
      </w:pPr>
      <w:r>
        <w:rPr>
          <w:rFonts w:hint="eastAsia" w:ascii="宋体" w:hAnsi="宋体"/>
          <w:snapToGrid w:val="0"/>
          <w:kern w:val="0"/>
          <w:szCs w:val="21"/>
        </w:rPr>
        <w:t>地址：杭州市江干区杭海路229号兴业大厦11楼</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 xml:space="preserve">    联系人：杨云</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 xml:space="preserve">    联系电话：0571-86571521</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2、采购机构联系方式：</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采购机构名称：浙江中诺招标代理有限公司</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地点：杭州市下城区环城北路141号永通信息广场西楼10楼</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联系人：吴知静</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联系电话：0571-88821402</w:t>
      </w:r>
    </w:p>
    <w:p>
      <w:pPr>
        <w:widowControl/>
        <w:snapToGrid w:val="0"/>
        <w:spacing w:line="360" w:lineRule="auto"/>
        <w:ind w:firstLine="48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传真：0571-88821134-823</w:t>
      </w:r>
    </w:p>
    <w:p>
      <w:pPr>
        <w:adjustRightInd w:val="0"/>
        <w:snapToGrid w:val="0"/>
        <w:spacing w:line="360" w:lineRule="auto"/>
        <w:ind w:firstLine="420" w:firstLineChars="200"/>
        <w:rPr>
          <w:rFonts w:ascii="宋体" w:hAnsi="宋体"/>
          <w:b/>
          <w:snapToGrid w:val="0"/>
          <w:kern w:val="0"/>
          <w:szCs w:val="21"/>
        </w:rPr>
      </w:pPr>
      <w:r>
        <w:rPr>
          <w:rFonts w:hint="eastAsia" w:cs="宋体" w:asciiTheme="minorEastAsia" w:hAnsiTheme="minorEastAsia" w:eastAsiaTheme="minorEastAsia"/>
          <w:kern w:val="0"/>
          <w:szCs w:val="21"/>
        </w:rPr>
        <w:t>3、</w:t>
      </w:r>
      <w:r>
        <w:rPr>
          <w:rFonts w:hint="eastAsia"/>
        </w:rPr>
        <w:t>监督单位</w:t>
      </w:r>
    </w:p>
    <w:p>
      <w:pPr>
        <w:adjustRightInd w:val="0"/>
        <w:snapToGrid w:val="0"/>
        <w:spacing w:line="360" w:lineRule="auto"/>
        <w:rPr>
          <w:rFonts w:ascii="宋体" w:hAnsi="宋体"/>
          <w:snapToGrid w:val="0"/>
          <w:kern w:val="0"/>
          <w:szCs w:val="21"/>
        </w:rPr>
      </w:pPr>
      <w:r>
        <w:rPr>
          <w:rFonts w:hint="eastAsia" w:ascii="宋体" w:hAnsi="宋体"/>
          <w:snapToGrid w:val="0"/>
          <w:kern w:val="0"/>
          <w:szCs w:val="21"/>
        </w:rPr>
        <w:t xml:space="preserve">    政府采购监管部门：杭州市财政局政府采购监管处</w:t>
      </w:r>
    </w:p>
    <w:p>
      <w:pPr>
        <w:tabs>
          <w:tab w:val="left" w:pos="720"/>
        </w:tabs>
        <w:adjustRightInd w:val="0"/>
        <w:snapToGrid w:val="0"/>
        <w:spacing w:line="360" w:lineRule="auto"/>
        <w:ind w:firstLine="420" w:firstLineChars="200"/>
        <w:rPr>
          <w:rFonts w:ascii="宋体" w:hAnsi="宋体"/>
          <w:szCs w:val="21"/>
        </w:rPr>
      </w:pPr>
      <w:r>
        <w:rPr>
          <w:rFonts w:hint="eastAsia"/>
        </w:rPr>
        <w:t>地址：杭州市中河中路152号</w:t>
      </w:r>
      <w:r>
        <w:rPr>
          <w:rFonts w:hint="eastAsia"/>
        </w:rPr>
        <w:br w:type="textWrapping"/>
      </w:r>
      <w:r>
        <w:rPr>
          <w:rFonts w:hint="eastAsia"/>
        </w:rPr>
        <w:t xml:space="preserve">    联系电话：0571-87233325</w:t>
      </w:r>
    </w:p>
    <w:p>
      <w:pPr>
        <w:widowControl/>
        <w:snapToGrid w:val="0"/>
        <w:spacing w:line="360" w:lineRule="auto"/>
        <w:ind w:firstLine="480"/>
        <w:jc w:val="left"/>
        <w:rPr>
          <w:rFonts w:asciiTheme="minorEastAsia" w:hAnsiTheme="minorEastAsia" w:eastAsiaTheme="minorEastAsia"/>
          <w:b/>
          <w:snapToGrid w:val="0"/>
          <w:kern w:val="0"/>
          <w:sz w:val="32"/>
          <w:szCs w:val="32"/>
        </w:rPr>
      </w:pPr>
      <w:r>
        <w:rPr>
          <w:rFonts w:asciiTheme="minorEastAsia" w:hAnsiTheme="minorEastAsia" w:eastAsiaTheme="minorEastAsia"/>
          <w:b/>
          <w:snapToGrid w:val="0"/>
          <w:kern w:val="0"/>
          <w:sz w:val="30"/>
          <w:szCs w:val="30"/>
        </w:rPr>
        <w:br w:type="page"/>
      </w:r>
      <w:r>
        <w:rPr>
          <w:rFonts w:hint="eastAsia" w:asciiTheme="minorEastAsia" w:hAnsiTheme="minorEastAsia" w:eastAsiaTheme="minorEastAsia"/>
          <w:b/>
          <w:snapToGrid w:val="0"/>
          <w:kern w:val="0"/>
          <w:sz w:val="30"/>
          <w:szCs w:val="30"/>
        </w:rPr>
        <w:t>前附表</w:t>
      </w:r>
    </w:p>
    <w:tbl>
      <w:tblPr>
        <w:tblStyle w:val="45"/>
        <w:tblW w:w="9164"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554"/>
        <w:gridCol w:w="696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31" w:hRule="atLeast"/>
          <w:tblHeader/>
          <w:jc w:val="center"/>
        </w:trPr>
        <w:tc>
          <w:tcPr>
            <w:tcW w:w="648" w:type="dxa"/>
            <w:vAlign w:val="center"/>
          </w:tcPr>
          <w:p>
            <w:pPr>
              <w:adjustRightInd w:val="0"/>
              <w:snapToGrid w:val="0"/>
              <w:spacing w:line="360" w:lineRule="auto"/>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序</w:t>
            </w:r>
            <w:r>
              <w:rPr>
                <w:rFonts w:asciiTheme="minorEastAsia" w:hAnsiTheme="minorEastAsia" w:eastAsiaTheme="minorEastAsia"/>
                <w:b/>
                <w:bCs/>
                <w:snapToGrid w:val="0"/>
                <w:kern w:val="0"/>
                <w:szCs w:val="21"/>
              </w:rPr>
              <w:t>号</w:t>
            </w:r>
          </w:p>
        </w:tc>
        <w:tc>
          <w:tcPr>
            <w:tcW w:w="1554" w:type="dxa"/>
            <w:vAlign w:val="center"/>
          </w:tcPr>
          <w:p>
            <w:pPr>
              <w:adjustRightInd w:val="0"/>
              <w:snapToGrid w:val="0"/>
              <w:spacing w:line="360" w:lineRule="auto"/>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项</w:t>
            </w:r>
            <w:r>
              <w:rPr>
                <w:rFonts w:asciiTheme="minorEastAsia" w:hAnsiTheme="minorEastAsia" w:eastAsiaTheme="minorEastAsia"/>
                <w:b/>
                <w:bCs/>
                <w:snapToGrid w:val="0"/>
                <w:kern w:val="0"/>
                <w:szCs w:val="21"/>
              </w:rPr>
              <w:t xml:space="preserve">   目</w:t>
            </w:r>
          </w:p>
        </w:tc>
        <w:tc>
          <w:tcPr>
            <w:tcW w:w="6962" w:type="dxa"/>
            <w:vAlign w:val="center"/>
          </w:tcPr>
          <w:p>
            <w:pPr>
              <w:adjustRightInd w:val="0"/>
              <w:snapToGrid w:val="0"/>
              <w:spacing w:line="360" w:lineRule="auto"/>
              <w:jc w:val="center"/>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内</w:t>
            </w:r>
            <w:r>
              <w:rPr>
                <w:rFonts w:asciiTheme="minorEastAsia" w:hAnsiTheme="minorEastAsia" w:eastAsiaTheme="minorEastAsia"/>
                <w:b/>
                <w:bCs/>
                <w:snapToGrid w:val="0"/>
                <w:kern w:val="0"/>
                <w:szCs w:val="21"/>
              </w:rPr>
              <w:t xml:space="preserve">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1</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项目名称</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cs="楷体" w:asciiTheme="minorEastAsia" w:hAnsiTheme="minorEastAsia" w:eastAsiaTheme="minorEastAsia"/>
                <w:snapToGrid w:val="0"/>
                <w:kern w:val="0"/>
                <w:szCs w:val="21"/>
              </w:rPr>
              <w:t>市本级水旱灾害监测预警平台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2</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建设地点</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杭州市水文水资源监测总站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3</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招标编号</w:t>
            </w:r>
          </w:p>
        </w:tc>
        <w:tc>
          <w:tcPr>
            <w:tcW w:w="6962" w:type="dxa"/>
            <w:vAlign w:val="center"/>
          </w:tcPr>
          <w:p>
            <w:pPr>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
                <w:bCs/>
                <w:snapToGrid w:val="0"/>
                <w:kern w:val="0"/>
                <w:szCs w:val="21"/>
              </w:rPr>
              <w:t>ZJZN-19144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4</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采购方式</w:t>
            </w:r>
          </w:p>
        </w:tc>
        <w:tc>
          <w:tcPr>
            <w:tcW w:w="6962" w:type="dxa"/>
            <w:vAlign w:val="center"/>
          </w:tcPr>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公开招标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9"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5</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采购内容</w:t>
            </w:r>
          </w:p>
        </w:tc>
        <w:tc>
          <w:tcPr>
            <w:tcW w:w="6962" w:type="dxa"/>
            <w:vAlign w:val="center"/>
          </w:tcPr>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详见招标公告第二条内容。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6</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项目实施时间</w:t>
            </w:r>
          </w:p>
        </w:tc>
        <w:tc>
          <w:tcPr>
            <w:tcW w:w="6962" w:type="dxa"/>
            <w:vAlign w:val="center"/>
          </w:tcPr>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合同签订后6个月内，完成项目开发、编码、测试，实现系统全部功能，项目通过初步验收，进入试运行；试运行2个月内完成培训、经验收合格，正式交付使用。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7</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系统维护期（质保期）</w:t>
            </w:r>
          </w:p>
        </w:tc>
        <w:tc>
          <w:tcPr>
            <w:tcW w:w="6962" w:type="dxa"/>
            <w:vAlign w:val="center"/>
          </w:tcPr>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项目验收之日起提供不少于三年7*24免费售后技术支持服务（包括故障排除、性能调优、技术咨询等，并负责处理、协调与各系统软件、硬件等供应商的关系）。</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6"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8</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采购预算</w:t>
            </w:r>
          </w:p>
        </w:tc>
        <w:tc>
          <w:tcPr>
            <w:tcW w:w="6962" w:type="dxa"/>
            <w:vAlign w:val="center"/>
          </w:tcPr>
          <w:p>
            <w:pPr>
              <w:adjustRightInd w:val="0"/>
              <w:snapToGrid w:val="0"/>
              <w:spacing w:line="360" w:lineRule="auto"/>
              <w:jc w:val="left"/>
              <w:rPr>
                <w:rFonts w:asciiTheme="minorEastAsia" w:hAnsiTheme="minorEastAsia" w:eastAsiaTheme="minorEastAsia"/>
                <w:snapToGrid w:val="0"/>
                <w:kern w:val="0"/>
                <w:szCs w:val="21"/>
              </w:rPr>
            </w:pPr>
            <w:r>
              <w:rPr>
                <w:rFonts w:hint="eastAsia" w:cs="楷体" w:asciiTheme="minorEastAsia" w:hAnsiTheme="minorEastAsia" w:eastAsiaTheme="minorEastAsia"/>
                <w:b/>
                <w:snapToGrid w:val="0"/>
                <w:kern w:val="0"/>
                <w:szCs w:val="21"/>
              </w:rPr>
              <w:t>预算</w:t>
            </w:r>
            <w:r>
              <w:rPr>
                <w:rFonts w:hint="eastAsia" w:asciiTheme="minorEastAsia" w:hAnsiTheme="minorEastAsia" w:eastAsiaTheme="minorEastAsia"/>
                <w:b/>
                <w:szCs w:val="21"/>
              </w:rPr>
              <w:t>人民币60万元，投标报价高于本项目预算将作无效标处理。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9</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招标答疑</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投标人如认为招标文件表述不清晰、存在歧视性或者倾向性或者其他违法内容的，必须在2019年 11月01 日17</w:t>
            </w:r>
            <w:r>
              <w:rPr>
                <w:rFonts w:asciiTheme="minorEastAsia" w:hAnsiTheme="minorEastAsia" w:eastAsiaTheme="minorEastAsia"/>
                <w:snapToGrid w:val="0"/>
                <w:kern w:val="0"/>
                <w:szCs w:val="21"/>
              </w:rPr>
              <w:t>时之前</w:t>
            </w:r>
            <w:r>
              <w:rPr>
                <w:rFonts w:hint="eastAsia" w:asciiTheme="minorEastAsia" w:hAnsiTheme="minorEastAsia" w:eastAsiaTheme="minorEastAsia"/>
                <w:snapToGrid w:val="0"/>
                <w:kern w:val="0"/>
                <w:szCs w:val="21"/>
              </w:rPr>
              <w:t>、</w:t>
            </w:r>
            <w:r>
              <w:rPr>
                <w:rFonts w:asciiTheme="minorEastAsia" w:hAnsiTheme="minorEastAsia" w:eastAsiaTheme="minorEastAsia"/>
                <w:snapToGrid w:val="0"/>
                <w:kern w:val="0"/>
                <w:szCs w:val="21"/>
              </w:rPr>
              <w:t>将要求答疑的问题传真</w:t>
            </w:r>
            <w:r>
              <w:rPr>
                <w:rFonts w:asciiTheme="minorEastAsia" w:hAnsiTheme="minorEastAsia" w:eastAsiaTheme="minorEastAsia"/>
                <w:bCs/>
                <w:snapToGrid w:val="0"/>
                <w:kern w:val="0"/>
                <w:szCs w:val="21"/>
              </w:rPr>
              <w:t>0571</w:t>
            </w:r>
            <w:r>
              <w:rPr>
                <w:rFonts w:hint="eastAsia" w:asciiTheme="minorEastAsia" w:hAnsiTheme="minorEastAsia" w:eastAsiaTheme="minorEastAsia"/>
                <w:bCs/>
                <w:snapToGrid w:val="0"/>
                <w:kern w:val="0"/>
                <w:szCs w:val="21"/>
              </w:rPr>
              <w:t>－88821402-823</w:t>
            </w:r>
            <w:r>
              <w:rPr>
                <w:rFonts w:hint="eastAsia" w:asciiTheme="minorEastAsia" w:hAnsiTheme="minorEastAsia" w:eastAsiaTheme="minorEastAsia"/>
                <w:b/>
                <w:bCs/>
                <w:snapToGrid w:val="0"/>
                <w:kern w:val="0"/>
                <w:szCs w:val="21"/>
              </w:rPr>
              <w:t>,</w:t>
            </w:r>
            <w:r>
              <w:rPr>
                <w:rFonts w:asciiTheme="minorEastAsia" w:hAnsiTheme="minorEastAsia" w:eastAsiaTheme="minorEastAsia"/>
                <w:snapToGrid w:val="0"/>
                <w:kern w:val="0"/>
                <w:szCs w:val="21"/>
              </w:rPr>
              <w:t>并发电子邮件至</w:t>
            </w:r>
            <w:r>
              <w:rPr>
                <w:rFonts w:hint="eastAsia" w:asciiTheme="minorEastAsia" w:hAnsiTheme="minorEastAsia" w:eastAsiaTheme="minorEastAsia"/>
                <w:snapToGrid w:val="0"/>
                <w:kern w:val="0"/>
                <w:szCs w:val="21"/>
              </w:rPr>
              <w:t>info@zngpa.cn（</w:t>
            </w:r>
            <w:r>
              <w:rPr>
                <w:rFonts w:hint="eastAsia" w:asciiTheme="minorEastAsia" w:hAnsiTheme="minorEastAsia" w:eastAsiaTheme="minorEastAsia"/>
                <w:snapToGrid w:val="0"/>
                <w:kern w:val="0"/>
                <w:szCs w:val="21"/>
                <w:lang w:val="zh-CN"/>
              </w:rPr>
              <w:t>电子邮件与书面文件有不一致的</w:t>
            </w:r>
            <w:r>
              <w:rPr>
                <w:rFonts w:hint="eastAsia" w:asciiTheme="minorEastAsia" w:hAnsiTheme="minorEastAsia" w:eastAsiaTheme="minorEastAsia"/>
                <w:snapToGrid w:val="0"/>
                <w:kern w:val="0"/>
                <w:szCs w:val="21"/>
              </w:rPr>
              <w:t>，</w:t>
            </w:r>
            <w:r>
              <w:rPr>
                <w:rFonts w:hint="eastAsia" w:asciiTheme="minorEastAsia" w:hAnsiTheme="minorEastAsia" w:eastAsiaTheme="minorEastAsia"/>
                <w:snapToGrid w:val="0"/>
                <w:kern w:val="0"/>
                <w:szCs w:val="21"/>
                <w:lang w:val="zh-CN"/>
              </w:rPr>
              <w:t>一律以书面文件为准</w:t>
            </w:r>
            <w:r>
              <w:rPr>
                <w:rFonts w:hint="eastAsia" w:asciiTheme="minorEastAsia" w:hAnsiTheme="minorEastAsia" w:eastAsiaTheme="minorEastAsia"/>
                <w:snapToGrid w:val="0"/>
                <w:kern w:val="0"/>
                <w:szCs w:val="21"/>
              </w:rPr>
              <w:t>）</w:t>
            </w:r>
            <w:r>
              <w:rPr>
                <w:rFonts w:hint="eastAsia" w:asciiTheme="minorEastAsia" w:hAnsiTheme="minorEastAsia" w:eastAsiaTheme="minorEastAsia"/>
                <w:snapToGrid w:val="0"/>
                <w:kern w:val="0"/>
                <w:szCs w:val="21"/>
                <w:lang w:val="zh-CN"/>
              </w:rPr>
              <w:t>。截止期后的疑问将不予受理、答复。</w:t>
            </w:r>
            <w:r>
              <w:rPr>
                <w:rFonts w:hint="eastAsia" w:asciiTheme="minorEastAsia" w:hAnsiTheme="minorEastAsia" w:eastAsiaTheme="minorEastAsia"/>
                <w:snapToGrid w:val="0"/>
                <w:kern w:val="0"/>
                <w:szCs w:val="21"/>
              </w:rPr>
              <w:t>答疑回复内容是招标文件的组成部份，并将以书面形式送达所有已购买招标文件的投标人。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招标文件的澄清与修改</w:t>
            </w:r>
          </w:p>
        </w:tc>
        <w:tc>
          <w:tcPr>
            <w:tcW w:w="6962" w:type="dxa"/>
            <w:vAlign w:val="center"/>
          </w:tcPr>
          <w:p>
            <w:pPr>
              <w:adjustRightInd w:val="0"/>
              <w:snapToGrid w:val="0"/>
              <w:spacing w:line="360" w:lineRule="auto"/>
              <w:ind w:right="105" w:rightChars="5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69"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1</w:t>
            </w:r>
            <w:r>
              <w:rPr>
                <w:rFonts w:hint="eastAsia" w:asciiTheme="minorEastAsia" w:hAnsiTheme="minorEastAsia" w:eastAsiaTheme="minorEastAsia"/>
                <w:snapToGrid w:val="0"/>
                <w:kern w:val="0"/>
                <w:szCs w:val="21"/>
              </w:rPr>
              <w:t>1</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投标文件份数</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b/>
                <w:snapToGrid w:val="0"/>
                <w:kern w:val="0"/>
                <w:szCs w:val="21"/>
              </w:rPr>
              <w:t>纸质文件正本1份，副本5份；</w:t>
            </w:r>
            <w:r>
              <w:rPr>
                <w:rFonts w:hint="eastAsia" w:asciiTheme="minorEastAsia" w:hAnsiTheme="minorEastAsia" w:eastAsiaTheme="minorEastAsia"/>
                <w:snapToGrid w:val="0"/>
                <w:kern w:val="0"/>
                <w:szCs w:val="21"/>
              </w:rPr>
              <w:t>电子文档一份（电子文件随纸质报价文件一同密封包装）。正本、副本分开胶装,不接受活页装订的标书。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1"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12</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评标办法</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13</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投标文件递交地址及截止时间</w:t>
            </w:r>
          </w:p>
        </w:tc>
        <w:tc>
          <w:tcPr>
            <w:tcW w:w="6962" w:type="dxa"/>
            <w:vAlign w:val="center"/>
          </w:tcPr>
          <w:p>
            <w:pPr>
              <w:adjustRightInd w:val="0"/>
              <w:snapToGrid w:val="0"/>
              <w:spacing w:line="360" w:lineRule="auto"/>
              <w:ind w:left="15" w:hanging="14" w:hangingChars="7"/>
              <w:rPr>
                <w:rFonts w:cs="Courier New" w:asciiTheme="minorEastAsia" w:hAnsiTheme="minorEastAsia" w:eastAsiaTheme="minorEastAsia"/>
                <w:snapToGrid w:val="0"/>
                <w:kern w:val="0"/>
                <w:szCs w:val="21"/>
              </w:rPr>
            </w:pPr>
            <w:r>
              <w:rPr>
                <w:rFonts w:asciiTheme="minorEastAsia" w:hAnsiTheme="minorEastAsia" w:eastAsiaTheme="minorEastAsia"/>
                <w:snapToGrid w:val="0"/>
                <w:kern w:val="0"/>
                <w:szCs w:val="21"/>
              </w:rPr>
              <w:t>地址：</w:t>
            </w:r>
            <w:r>
              <w:rPr>
                <w:rFonts w:hint="eastAsia" w:cs="宋体" w:asciiTheme="minorEastAsia" w:hAnsiTheme="minorEastAsia" w:eastAsiaTheme="minorEastAsia"/>
                <w:b/>
                <w:kern w:val="0"/>
                <w:szCs w:val="21"/>
              </w:rPr>
              <w:t>浙江中诺招标代理有限公司（杭州市下城区环城北路141号永通信息广场西楼10楼）会议室。</w:t>
            </w:r>
          </w:p>
          <w:p>
            <w:pPr>
              <w:adjustRightInd w:val="0"/>
              <w:snapToGrid w:val="0"/>
              <w:spacing w:line="360" w:lineRule="auto"/>
              <w:rPr>
                <w:rFonts w:cs="Courier New"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时间：</w:t>
            </w:r>
            <w:r>
              <w:rPr>
                <w:rFonts w:asciiTheme="minorEastAsia" w:hAnsiTheme="minorEastAsia" w:eastAsiaTheme="minorEastAsia"/>
                <w:szCs w:val="21"/>
              </w:rPr>
              <w:t>201</w:t>
            </w:r>
            <w:r>
              <w:rPr>
                <w:rFonts w:hint="eastAsia" w:asciiTheme="minorEastAsia" w:hAnsiTheme="minorEastAsia" w:eastAsiaTheme="minorEastAsia"/>
                <w:szCs w:val="21"/>
              </w:rPr>
              <w:t>9</w:t>
            </w:r>
            <w:r>
              <w:rPr>
                <w:rFonts w:asciiTheme="minorEastAsia" w:hAnsiTheme="minorEastAsia" w:eastAsiaTheme="minorEastAsia"/>
                <w:szCs w:val="21"/>
              </w:rPr>
              <w:t>年</w:t>
            </w:r>
            <w:r>
              <w:rPr>
                <w:rFonts w:hint="eastAsia" w:asciiTheme="minorEastAsia" w:hAnsiTheme="minorEastAsia" w:eastAsiaTheme="minorEastAsia"/>
                <w:szCs w:val="21"/>
              </w:rPr>
              <w:t xml:space="preserve">  11月 18 日下午14：00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14</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开标时间及地点</w:t>
            </w:r>
          </w:p>
        </w:tc>
        <w:tc>
          <w:tcPr>
            <w:tcW w:w="6962" w:type="dxa"/>
            <w:vAlign w:val="center"/>
          </w:tcPr>
          <w:p>
            <w:pPr>
              <w:adjustRightInd w:val="0"/>
              <w:snapToGrid w:val="0"/>
              <w:spacing w:line="360" w:lineRule="auto"/>
              <w:ind w:left="15" w:hanging="14" w:hangingChars="7"/>
              <w:rPr>
                <w:rFonts w:cs="Courier New" w:asciiTheme="minorEastAsia" w:hAnsiTheme="minorEastAsia" w:eastAsiaTheme="minorEastAsia"/>
                <w:snapToGrid w:val="0"/>
                <w:kern w:val="0"/>
                <w:szCs w:val="21"/>
              </w:rPr>
            </w:pPr>
            <w:r>
              <w:rPr>
                <w:rFonts w:asciiTheme="minorEastAsia" w:hAnsiTheme="minorEastAsia" w:eastAsiaTheme="minorEastAsia"/>
                <w:snapToGrid w:val="0"/>
                <w:kern w:val="0"/>
                <w:szCs w:val="21"/>
              </w:rPr>
              <w:t>地址：</w:t>
            </w:r>
            <w:r>
              <w:rPr>
                <w:rFonts w:hint="eastAsia" w:cs="宋体" w:asciiTheme="minorEastAsia" w:hAnsiTheme="minorEastAsia" w:eastAsiaTheme="minorEastAsia"/>
                <w:b/>
                <w:kern w:val="0"/>
                <w:szCs w:val="21"/>
              </w:rPr>
              <w:t>浙江中诺招标代理有限公司（杭州市下城区环城北路141号永通信息广场西楼10楼）会议室。</w:t>
            </w: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时间：</w:t>
            </w:r>
            <w:r>
              <w:rPr>
                <w:rFonts w:asciiTheme="minorEastAsia" w:hAnsiTheme="minorEastAsia" w:eastAsiaTheme="minorEastAsia"/>
                <w:szCs w:val="21"/>
              </w:rPr>
              <w:t>201</w:t>
            </w:r>
            <w:r>
              <w:rPr>
                <w:rFonts w:hint="eastAsia" w:asciiTheme="minorEastAsia" w:hAnsiTheme="minorEastAsia" w:eastAsiaTheme="minorEastAsia"/>
                <w:szCs w:val="21"/>
              </w:rPr>
              <w:t>9</w:t>
            </w:r>
            <w:r>
              <w:rPr>
                <w:rFonts w:asciiTheme="minorEastAsia" w:hAnsiTheme="minorEastAsia" w:eastAsiaTheme="minorEastAsia"/>
                <w:szCs w:val="21"/>
              </w:rPr>
              <w:t>年</w:t>
            </w:r>
            <w:r>
              <w:rPr>
                <w:rFonts w:hint="eastAsia" w:asciiTheme="minorEastAsia" w:hAnsiTheme="minorEastAsia" w:eastAsiaTheme="minorEastAsia"/>
                <w:szCs w:val="21"/>
              </w:rPr>
              <w:t xml:space="preserve"> 11 月18日下午14：30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8"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1</w:t>
            </w:r>
            <w:r>
              <w:rPr>
                <w:rFonts w:hint="eastAsia" w:asciiTheme="minorEastAsia" w:hAnsiTheme="minorEastAsia" w:eastAsiaTheme="minorEastAsia"/>
                <w:snapToGrid w:val="0"/>
                <w:kern w:val="0"/>
                <w:szCs w:val="21"/>
              </w:rPr>
              <w:t>5</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投标有效期</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投标截止日后</w:t>
            </w:r>
            <w:r>
              <w:rPr>
                <w:rFonts w:hint="eastAsia" w:asciiTheme="minorEastAsia" w:hAnsiTheme="minorEastAsia" w:eastAsiaTheme="minorEastAsia"/>
                <w:b/>
                <w:bCs/>
                <w:snapToGrid w:val="0"/>
                <w:kern w:val="0"/>
                <w:szCs w:val="21"/>
              </w:rPr>
              <w:t>60日历天</w:t>
            </w:r>
            <w:r>
              <w:rPr>
                <w:rFonts w:hint="eastAsia" w:asciiTheme="minorEastAsia" w:hAnsiTheme="minorEastAsia" w:eastAsiaTheme="minorEastAsia"/>
                <w:snapToGrid w:val="0"/>
                <w:kern w:val="0"/>
                <w:szCs w:val="21"/>
              </w:rPr>
              <w:t>内有效，不足有效期的，其投标视为无效标。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9"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16</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质疑</w:t>
            </w:r>
          </w:p>
        </w:tc>
        <w:tc>
          <w:tcPr>
            <w:tcW w:w="6962" w:type="dxa"/>
            <w:vAlign w:val="center"/>
          </w:tcPr>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根据</w:t>
            </w:r>
            <w:r>
              <w:rPr>
                <w:rFonts w:hint="eastAsia" w:asciiTheme="minorEastAsia" w:hAnsiTheme="minorEastAsia" w:eastAsiaTheme="minorEastAsia"/>
                <w:snapToGrid w:val="0"/>
                <w:kern w:val="0"/>
                <w:szCs w:val="21"/>
                <w:lang w:eastAsia="zh-CN"/>
              </w:rPr>
              <w:t>《中华人民共和国政府采购法》</w:t>
            </w:r>
            <w:r>
              <w:rPr>
                <w:rFonts w:hint="eastAsia" w:asciiTheme="minorEastAsia" w:hAnsiTheme="minorEastAsia" w:eastAsiaTheme="minorEastAsia"/>
                <w:snapToGrid w:val="0"/>
                <w:kern w:val="0"/>
                <w:szCs w:val="21"/>
              </w:rPr>
              <w:t>第五十二条的规定，供应商认为招标文件、采购过程和中标、成交结果使自己的权益受到损害的，可以在知道或者应知其权益受到损害之日起七个工作日内，以书面形式向采购人、采购代理机构提出质疑。</w:t>
            </w:r>
          </w:p>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根据《政府采购法实施条例》第五十二条的规定，采购人或者采购代理机构应当在3个工作日内对供应商依法提出的询问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政府采购法第五十二条规定的供应商应知其权益受到损害之日，是指：</w:t>
            </w:r>
          </w:p>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（一）对可以质疑的采购文件提出质疑的，为收到采购文件之日或者采购文件公告期限届满之日；</w:t>
            </w:r>
          </w:p>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（二）对采购过程提出质疑的，为各采购程序环节结束之日；</w:t>
            </w:r>
          </w:p>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（三）对中标或者成交结果提出质疑的，为中标或者成交结果公告期限届满之日。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28"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17</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投诉</w:t>
            </w:r>
          </w:p>
        </w:tc>
        <w:tc>
          <w:tcPr>
            <w:tcW w:w="696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根据</w:t>
            </w:r>
            <w:r>
              <w:rPr>
                <w:rFonts w:hint="eastAsia" w:asciiTheme="minorEastAsia" w:hAnsiTheme="minorEastAsia" w:eastAsiaTheme="minorEastAsia"/>
                <w:snapToGrid w:val="0"/>
                <w:kern w:val="0"/>
                <w:szCs w:val="21"/>
                <w:lang w:eastAsia="zh-CN"/>
              </w:rPr>
              <w:t>《中华人民共和国政府采购法》</w:t>
            </w:r>
            <w:r>
              <w:rPr>
                <w:rFonts w:hint="eastAsia" w:asciiTheme="minorEastAsia" w:hAnsiTheme="minorEastAsia" w:eastAsiaTheme="minorEastAsia"/>
                <w:snapToGrid w:val="0"/>
                <w:kern w:val="0"/>
                <w:szCs w:val="21"/>
              </w:rPr>
              <w:t>第五十五条的规定，</w:t>
            </w:r>
            <w:r>
              <w:rPr>
                <w:rFonts w:asciiTheme="minorEastAsia" w:hAnsiTheme="minorEastAsia" w:eastAsiaTheme="minorEastAsia"/>
                <w:snapToGrid w:val="0"/>
                <w:kern w:val="0"/>
                <w:szCs w:val="21"/>
              </w:rPr>
              <w:t>质疑供应商对采购人、采购代理机构的答复不满意或者采购人、采购代理机构未在规定的时间内作出答复的，可以在答复期满后十五个工作日内向同级政府采购监督管理部门投诉。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18</w:t>
            </w:r>
          </w:p>
        </w:tc>
        <w:tc>
          <w:tcPr>
            <w:tcW w:w="1554" w:type="dxa"/>
            <w:vAlign w:val="center"/>
          </w:tcPr>
          <w:p>
            <w:pPr>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支持</w:t>
            </w:r>
          </w:p>
          <w:p>
            <w:pPr>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中小企业</w:t>
            </w:r>
          </w:p>
          <w:p>
            <w:pPr>
              <w:adjustRightInd w:val="0"/>
              <w:snapToGrid w:val="0"/>
              <w:spacing w:line="360" w:lineRule="auto"/>
              <w:rPr>
                <w:rFonts w:asciiTheme="minorEastAsia" w:hAnsiTheme="minorEastAsia" w:eastAsiaTheme="minorEastAsia"/>
                <w:b/>
                <w:snapToGrid w:val="0"/>
                <w:kern w:val="0"/>
                <w:szCs w:val="21"/>
              </w:rPr>
            </w:pPr>
          </w:p>
        </w:tc>
        <w:tc>
          <w:tcPr>
            <w:tcW w:w="6962" w:type="dxa"/>
            <w:vAlign w:val="center"/>
          </w:tcPr>
          <w:p>
            <w:pPr>
              <w:pStyle w:val="34"/>
              <w:spacing w:line="360" w:lineRule="auto"/>
              <w:ind w:left="155" w:hanging="155" w:hangingChars="74"/>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价格扣除：根据工信部等部委发布的《关于印发中小企业划型标准规定的通知》（工信部联企业〔2011〕300号），根据具体品目确定相应标准。符合上述条件的中小微型企业提供《投标人企业类型声明函》，由审核单位进行核查。符合《关于促进残疾人就业政府采购政策的通知》（财库〔2018〕141号）规定的条件并提供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根据财政部发布的《政府采购促进中小企业发展暂行办法》规定，对于非专门面向此类企业的项目，对小型和微型企业产品的投标价格给予6 %的扣除，用扣除后的价格参与评审。</w:t>
            </w:r>
          </w:p>
          <w:p>
            <w:pPr>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19</w:t>
            </w:r>
          </w:p>
        </w:tc>
        <w:tc>
          <w:tcPr>
            <w:tcW w:w="1554" w:type="dxa"/>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企业信用</w:t>
            </w:r>
          </w:p>
          <w:p>
            <w:pPr>
              <w:rPr>
                <w:rFonts w:asciiTheme="minorEastAsia" w:hAnsiTheme="minorEastAsia" w:eastAsiaTheme="minorEastAsia"/>
                <w:b/>
                <w:szCs w:val="21"/>
              </w:rPr>
            </w:pPr>
            <w:r>
              <w:rPr>
                <w:rFonts w:hint="eastAsia" w:asciiTheme="minorEastAsia" w:hAnsiTheme="minorEastAsia" w:eastAsiaTheme="minorEastAsia"/>
                <w:b/>
                <w:szCs w:val="21"/>
              </w:rPr>
              <w:t>融资</w:t>
            </w:r>
          </w:p>
        </w:tc>
        <w:tc>
          <w:tcPr>
            <w:tcW w:w="6962"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4"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20</w:t>
            </w:r>
          </w:p>
        </w:tc>
        <w:tc>
          <w:tcPr>
            <w:tcW w:w="1554" w:type="dxa"/>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信用记录</w:t>
            </w:r>
          </w:p>
        </w:tc>
        <w:tc>
          <w:tcPr>
            <w:tcW w:w="6962"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被列入失信被执行人、重大税收违法案件当事人名单、政府采购严重违法失信行为记录名单及其他不符合《中华人民共和国政府采购法》第二十二条规定条件的供应商将被拒绝参与本次政府采购活动。两个以上的自然人、法人或者其他组织组成一个联合体，以一个供应商的身份共同参加政府采购活动的，若联合体成员存在不良信用记录的，视同联合体存在不良信用记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80"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21</w:t>
            </w:r>
          </w:p>
        </w:tc>
        <w:tc>
          <w:tcPr>
            <w:tcW w:w="1554" w:type="dxa"/>
            <w:vAlign w:val="center"/>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采购代理</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服务费</w:t>
            </w:r>
          </w:p>
        </w:tc>
        <w:tc>
          <w:tcPr>
            <w:tcW w:w="6962" w:type="dxa"/>
            <w:vAlign w:val="center"/>
          </w:tcPr>
          <w:p>
            <w:pPr>
              <w:rPr>
                <w:rFonts w:asciiTheme="minorEastAsia" w:hAnsiTheme="minorEastAsia" w:eastAsiaTheme="minorEastAsia"/>
                <w:snapToGrid w:val="0"/>
                <w:kern w:val="0"/>
              </w:rPr>
            </w:pPr>
            <w:r>
              <w:rPr>
                <w:rFonts w:hint="eastAsia" w:asciiTheme="minorEastAsia" w:hAnsiTheme="minorEastAsia" w:eastAsiaTheme="minorEastAsia"/>
                <w:snapToGrid w:val="0"/>
                <w:kern w:val="0"/>
              </w:rPr>
              <w:t>本项目的采购代理费由中标人支付。分标项结算，计费标准：</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以中标（成交）金额为计费基准，按《计价格［2003］148号》及《发改办价格［2003］857号》规定的货物类收费标准下浮20%计取。不足伍仟按伍仟计算。</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按差额定率累进制计算,具体标准为:</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中标金额为100万元及以下：中标金额×1.2%；</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中标金额为100～500万元：100万×1.2%+(中标金额-100万)×0.88%。</w:t>
            </w: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结算方式及时间为：在领取中标通知书时由中标人一次性向采购代理机构付清。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22</w:t>
            </w:r>
          </w:p>
        </w:tc>
        <w:tc>
          <w:tcPr>
            <w:tcW w:w="1554"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
                <w:szCs w:val="21"/>
              </w:rPr>
              <w:t>特别说明</w:t>
            </w:r>
          </w:p>
        </w:tc>
        <w:tc>
          <w:tcPr>
            <w:tcW w:w="6962" w:type="dxa"/>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招标文件中标注</w:t>
            </w:r>
            <w:r>
              <w:rPr>
                <w:rFonts w:asciiTheme="minorEastAsia" w:hAnsiTheme="minorEastAsia" w:eastAsiaTheme="minorEastAsia"/>
                <w:szCs w:val="21"/>
              </w:rPr>
              <w:t>“</w:t>
            </w:r>
            <w:r>
              <w:rPr>
                <w:rFonts w:hint="eastAsia" w:asciiTheme="minorEastAsia" w:hAnsiTheme="minorEastAsia" w:eastAsiaTheme="minorEastAsia"/>
                <w:sz w:val="20"/>
                <w:szCs w:val="20"/>
              </w:rPr>
              <w:t>▲</w:t>
            </w:r>
            <w:r>
              <w:rPr>
                <w:rFonts w:asciiTheme="minorEastAsia" w:hAnsiTheme="minorEastAsia" w:eastAsiaTheme="minorEastAsia"/>
                <w:szCs w:val="21"/>
              </w:rPr>
              <w:t>”</w:t>
            </w:r>
            <w:r>
              <w:rPr>
                <w:rFonts w:hint="eastAsia" w:asciiTheme="minorEastAsia" w:hAnsiTheme="minorEastAsia" w:eastAsiaTheme="minorEastAsia"/>
                <w:szCs w:val="21"/>
              </w:rPr>
              <w:t>处为不允许负偏离的实质性要求和条件（如果有）。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25" w:hRule="atLeast"/>
          <w:jc w:val="center"/>
        </w:trPr>
        <w:tc>
          <w:tcPr>
            <w:tcW w:w="648"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23</w:t>
            </w:r>
          </w:p>
        </w:tc>
        <w:tc>
          <w:tcPr>
            <w:tcW w:w="1554" w:type="dxa"/>
            <w:vAlign w:val="center"/>
          </w:tcPr>
          <w:p>
            <w:pPr>
              <w:rPr>
                <w:rFonts w:asciiTheme="minorEastAsia" w:hAnsiTheme="minorEastAsia" w:eastAsiaTheme="minorEastAsia"/>
                <w:b/>
                <w:szCs w:val="21"/>
              </w:rPr>
            </w:pPr>
            <w:r>
              <w:rPr>
                <w:rFonts w:hint="eastAsia" w:asciiTheme="minorEastAsia" w:hAnsiTheme="minorEastAsia" w:eastAsiaTheme="minorEastAsia"/>
                <w:b/>
                <w:szCs w:val="21"/>
              </w:rPr>
              <w:t>现场演示</w:t>
            </w:r>
          </w:p>
        </w:tc>
        <w:tc>
          <w:tcPr>
            <w:tcW w:w="6962" w:type="dxa"/>
            <w:shd w:val="clear" w:color="auto" w:fill="auto"/>
            <w:vAlign w:val="center"/>
          </w:tcPr>
          <w:p>
            <w:pPr>
              <w:spacing w:line="400" w:lineRule="exact"/>
              <w:rPr>
                <w:rFonts w:asciiTheme="minorEastAsia" w:hAnsiTheme="minorEastAsia" w:eastAsiaTheme="minorEastAsia"/>
                <w:szCs w:val="21"/>
              </w:rPr>
            </w:pPr>
            <w:r>
              <w:rPr>
                <w:rFonts w:hint="eastAsia" w:asciiTheme="minorEastAsia" w:hAnsiTheme="minorEastAsia" w:eastAsiaTheme="minorEastAsia"/>
                <w:snapToGrid w:val="0"/>
                <w:kern w:val="0"/>
              </w:rPr>
              <w:t>现场演示安排：在评标时将安排每个投标人演示投标方案（具体详见第三部分用户需求书），每个投标人时间不超过10分钟。讲标次序由开标时抽签决定。讲标进场人员须为投标人所属固定职员。讲标结束后由投标人解答评标委员会的提问。</w:t>
            </w:r>
          </w:p>
        </w:tc>
      </w:tr>
    </w:tbl>
    <w:p>
      <w:pPr>
        <w:adjustRightInd w:val="0"/>
        <w:snapToGrid w:val="0"/>
        <w:spacing w:line="360" w:lineRule="auto"/>
        <w:ind w:firstLine="105" w:firstLineChars="5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注：以上内容如有变化将另行书面通知。如通知其中某一内容发生变化，其余未提及的将不作变动。</w:t>
      </w:r>
      <w:bookmarkStart w:id="8" w:name="_Toc251566649"/>
      <w:bookmarkStart w:id="9" w:name="_Toc240450076"/>
    </w:p>
    <w:p>
      <w:pPr>
        <w:adjustRightInd w:val="0"/>
        <w:snapToGrid w:val="0"/>
        <w:spacing w:line="360" w:lineRule="auto"/>
        <w:ind w:firstLine="420" w:firstLineChars="200"/>
        <w:rPr>
          <w:rFonts w:asciiTheme="minorEastAsia" w:hAnsiTheme="minorEastAsia" w:eastAsiaTheme="minorEastAsia"/>
          <w:snapToGrid w:val="0"/>
          <w:kern w:val="0"/>
          <w:szCs w:val="21"/>
        </w:rPr>
      </w:pPr>
    </w:p>
    <w:p>
      <w:pPr>
        <w:adjustRightInd w:val="0"/>
        <w:snapToGrid w:val="0"/>
        <w:spacing w:line="360" w:lineRule="auto"/>
        <w:jc w:val="center"/>
        <w:outlineLvl w:val="0"/>
        <w:rPr>
          <w:rFonts w:asciiTheme="minorEastAsia" w:hAnsiTheme="minorEastAsia" w:eastAsiaTheme="minorEastAsia"/>
          <w:snapToGrid w:val="0"/>
          <w:kern w:val="0"/>
          <w:szCs w:val="21"/>
        </w:rPr>
      </w:pPr>
      <w:bookmarkStart w:id="10" w:name="_Toc23154215"/>
      <w:r>
        <w:rPr>
          <w:rFonts w:asciiTheme="minorEastAsia" w:hAnsiTheme="minorEastAsia" w:eastAsiaTheme="minorEastAsia"/>
          <w:b/>
          <w:snapToGrid w:val="0"/>
          <w:kern w:val="0"/>
          <w:sz w:val="30"/>
          <w:szCs w:val="30"/>
        </w:rPr>
        <w:t>第二部分  投标须知</w:t>
      </w:r>
      <w:bookmarkEnd w:id="8"/>
      <w:bookmarkEnd w:id="9"/>
      <w:bookmarkEnd w:id="10"/>
    </w:p>
    <w:p>
      <w:pPr>
        <w:pStyle w:val="4"/>
        <w:snapToGrid w:val="0"/>
        <w:spacing w:before="0" w:after="0" w:line="360" w:lineRule="auto"/>
        <w:rPr>
          <w:rFonts w:asciiTheme="minorEastAsia" w:hAnsiTheme="minorEastAsia" w:eastAsiaTheme="minorEastAsia"/>
          <w:snapToGrid w:val="0"/>
          <w:kern w:val="0"/>
          <w:sz w:val="21"/>
          <w:szCs w:val="21"/>
        </w:rPr>
      </w:pPr>
      <w:bookmarkStart w:id="11" w:name="_Toc23154216"/>
      <w:bookmarkStart w:id="12" w:name="_Toc251566650"/>
      <w:bookmarkStart w:id="13" w:name="_Toc525308251"/>
      <w:bookmarkStart w:id="14" w:name="_Toc240450077"/>
      <w:bookmarkStart w:id="15" w:name="_Toc420670297"/>
      <w:bookmarkStart w:id="16" w:name="_Toc242012796"/>
      <w:bookmarkStart w:id="17" w:name="_Toc83616202"/>
      <w:r>
        <w:rPr>
          <w:rFonts w:hint="eastAsia" w:asciiTheme="minorEastAsia" w:hAnsiTheme="minorEastAsia" w:eastAsiaTheme="minorEastAsia"/>
          <w:snapToGrid w:val="0"/>
          <w:kern w:val="0"/>
          <w:sz w:val="21"/>
          <w:szCs w:val="21"/>
        </w:rPr>
        <w:t>一、总则</w:t>
      </w:r>
      <w:bookmarkEnd w:id="11"/>
      <w:bookmarkEnd w:id="12"/>
      <w:bookmarkEnd w:id="13"/>
      <w:bookmarkEnd w:id="14"/>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本次招标工作是按照《中华人民共和国政府采购法》、《政府采购货物和服务招标投标管理办法》等相关法律法规组织和实施，并由杭州市财政局指导和监督。</w:t>
      </w:r>
    </w:p>
    <w:p>
      <w:pPr>
        <w:adjustRightInd w:val="0"/>
        <w:snapToGrid w:val="0"/>
        <w:spacing w:line="360" w:lineRule="auto"/>
        <w:rPr>
          <w:rFonts w:asciiTheme="minorEastAsia" w:hAnsiTheme="minorEastAsia" w:eastAsiaTheme="minorEastAsia"/>
          <w:b/>
          <w:snapToGrid w:val="0"/>
          <w:kern w:val="0"/>
          <w:szCs w:val="21"/>
        </w:rPr>
      </w:pPr>
      <w:bookmarkStart w:id="18" w:name="_Toc251566652"/>
      <w:bookmarkStart w:id="19" w:name="_Toc240450079"/>
      <w:r>
        <w:rPr>
          <w:rFonts w:hint="eastAsia" w:asciiTheme="minorEastAsia" w:hAnsiTheme="minorEastAsia" w:eastAsiaTheme="minorEastAsia"/>
          <w:b/>
          <w:snapToGrid w:val="0"/>
          <w:kern w:val="0"/>
          <w:szCs w:val="21"/>
        </w:rPr>
        <w:t>1．适用范围</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 本招标文件仅适用于本次招标项目。</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1.2 本项目采购方式为公开招标。</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2．定义</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招标（采购）人：是指依法进行政府采购的国家机关、事业单位、团体组织，见本项目“招标公告”；</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招标（采购）代理机构：受招标人委托，在委托的范围内办理政府采购事宜并组织招标活动的机构，见本项目“招标公告”；</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投标人（供应商）：是指参加本政府采购项目投标的供应商；</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中标人：是指经评审获得本项目最终合同签订资格的投标人。</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买方（甲方）：是指合同签订的一方，一般与招标人、用户相同；</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卖方（乙方）：是指合同签订的另一方，一般与中标人相同；</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制造商：包括是指拥有投标产品自主知识产权的单位；</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本招标文件中可享受中小企业政策功能的评标价格扣除的投标人：是指监狱企业或符合中小企业划分标准（详见《关于印发中小企业划型标准规定的通知》工信部联企业〔2011〕300号）的小、微企业，同时该企业提供的货物、承担的工程或者服务是由本企业制造或者由其他小、微企业（监狱企业）制造（提供），本项所称货物不包括使用大型企业注册商标的货物；</w:t>
      </w:r>
    </w:p>
    <w:p>
      <w:pPr>
        <w:spacing w:line="360" w:lineRule="auto"/>
        <w:ind w:firstLine="420" w:firstLineChars="200"/>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监狱企业：是指由司法部认定的为罪犯、戒毒人员提供生产项目和劳动对象，且全部产权属于司法 部监狱管理局、戒毒管理局、直属煤矿管理局，各省、自治区、直辖市监狱管理局、戒毒管理局，各地 （设区的市）监狱、强制隔离戒毒所、戒毒康复所，以及新疆生产建设兵团监狱管理局、戒毒管理局的 企业。监狱企业参加政府采购活动时，应当提供由省级以上监狱管理局、戒毒管理局（含新疆生产建设 兵团）出具的属于监狱企业的证明文件</w:t>
      </w:r>
      <w:r>
        <w:rPr>
          <w:rFonts w:hint="eastAsia" w:asciiTheme="minorEastAsia" w:hAnsiTheme="minorEastAsia" w:eastAsiaTheme="minorEastAsia"/>
          <w:snapToGrid w:val="0"/>
          <w:kern w:val="0"/>
          <w:szCs w:val="21"/>
        </w:rPr>
        <w:t>；</w:t>
      </w:r>
    </w:p>
    <w:p>
      <w:pPr>
        <w:spacing w:line="360" w:lineRule="auto"/>
        <w:ind w:firstLine="420" w:firstLineChars="200"/>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残疾人福利性单位：符合《财政部 民政部 中国残疾人联合会关于促进残疾人就业政府采购政策的 通知》（财库〔2018〕 141 号）的规定单位</w:t>
      </w:r>
      <w:r>
        <w:rPr>
          <w:rFonts w:hint="eastAsia" w:asciiTheme="minorEastAsia" w:hAnsiTheme="minorEastAsia" w:eastAsiaTheme="minorEastAsia"/>
          <w:snapToGrid w:val="0"/>
          <w:kern w:val="0"/>
          <w:szCs w:val="21"/>
        </w:rPr>
        <w:t>；</w:t>
      </w:r>
    </w:p>
    <w:p>
      <w:pPr>
        <w:spacing w:line="360" w:lineRule="auto"/>
        <w:ind w:firstLine="420" w:firstLineChars="200"/>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政府采购监管部门：</w:t>
      </w:r>
      <w:r>
        <w:rPr>
          <w:rFonts w:hint="eastAsia" w:asciiTheme="minorEastAsia" w:hAnsiTheme="minorEastAsia" w:eastAsiaTheme="minorEastAsia"/>
          <w:snapToGrid w:val="0"/>
          <w:kern w:val="0"/>
          <w:szCs w:val="21"/>
        </w:rPr>
        <w:t>杭州市财政局；</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产品（货物）：系指按招标文件规定，须向招标人提供的一切设备及配套备品备件、工具、手册及其他有关技术资料和材料；</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asciiTheme="minorEastAsia" w:hAnsiTheme="minorEastAsia" w:eastAsiaTheme="minorEastAsia"/>
          <w:snapToGrid w:val="0"/>
          <w:kern w:val="0"/>
          <w:szCs w:val="21"/>
        </w:rPr>
        <w:t>投标人应保证提供的产品为合法企业生产的合法产品，符合中华人民共和国有关法律、法规、</w:t>
      </w:r>
      <w:r>
        <w:rPr>
          <w:rFonts w:hint="eastAsia" w:asciiTheme="minorEastAsia" w:hAnsiTheme="minorEastAsia" w:eastAsiaTheme="minorEastAsia"/>
          <w:snapToGrid w:val="0"/>
          <w:kern w:val="0"/>
          <w:szCs w:val="21"/>
        </w:rPr>
        <w:t>规章、文件、</w:t>
      </w:r>
      <w:r>
        <w:rPr>
          <w:rFonts w:asciiTheme="minorEastAsia" w:hAnsiTheme="minorEastAsia" w:eastAsiaTheme="minorEastAsia"/>
          <w:snapToGrid w:val="0"/>
          <w:kern w:val="0"/>
          <w:szCs w:val="21"/>
        </w:rPr>
        <w:t>标准</w:t>
      </w:r>
      <w:r>
        <w:rPr>
          <w:rFonts w:hint="eastAsia" w:asciiTheme="minorEastAsia" w:hAnsiTheme="minorEastAsia" w:eastAsiaTheme="minorEastAsia"/>
          <w:snapToGrid w:val="0"/>
          <w:kern w:val="0"/>
          <w:szCs w:val="21"/>
        </w:rPr>
        <w:t>、规范的规定</w:t>
      </w:r>
      <w:r>
        <w:rPr>
          <w:rFonts w:asciiTheme="minorEastAsia" w:hAnsiTheme="minorEastAsia" w:eastAsiaTheme="minorEastAsia"/>
          <w:snapToGrid w:val="0"/>
          <w:kern w:val="0"/>
          <w:szCs w:val="21"/>
        </w:rPr>
        <w:t>。按国家规定应通过有关部门鉴定（批准）的产品，应保证已按国家规定通过了鉴定（批准）；实行产品许可证制度的产品须获得国家许可；实行强制性认证的产品须通过国家认可认证；</w:t>
      </w:r>
      <w:r>
        <w:rPr>
          <w:rFonts w:hint="eastAsia" w:asciiTheme="minorEastAsia" w:hAnsiTheme="minorEastAsia" w:eastAsiaTheme="minorEastAsia"/>
          <w:snapToGrid w:val="0"/>
          <w:kern w:val="0"/>
          <w:szCs w:val="21"/>
        </w:rPr>
        <w:t>产品应符合国家节能环保要求；</w:t>
      </w:r>
      <w:r>
        <w:rPr>
          <w:rFonts w:asciiTheme="minorEastAsia" w:hAnsiTheme="minorEastAsia" w:eastAsiaTheme="minorEastAsia"/>
          <w:snapToGrid w:val="0"/>
          <w:kern w:val="0"/>
          <w:szCs w:val="21"/>
        </w:rPr>
        <w:t>投标人在投标文件中提供相关证明材料。</w:t>
      </w:r>
    </w:p>
    <w:p>
      <w:pPr>
        <w:tabs>
          <w:tab w:val="left" w:pos="0"/>
        </w:tabs>
        <w:autoSpaceDE w:val="0"/>
        <w:autoSpaceDN w:val="0"/>
        <w:adjustRightIn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服务：系指按招标文件规定，须向招标人提供的与供货有关的辅助服务，如运输、保险、培训安装、调试、验收、技术支持和交付使用后质保期内应履行的售后服务等义务； </w:t>
      </w:r>
    </w:p>
    <w:p>
      <w:pPr>
        <w:tabs>
          <w:tab w:val="left" w:pos="0"/>
        </w:tabs>
        <w:autoSpaceDE w:val="0"/>
        <w:autoSpaceDN w:val="0"/>
        <w:adjustRightIn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培训：系指按招标文件规定，向招标人提供操作使用培训、系统管理培训和其他相关培训等。</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3．相关说明</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3.1 投标费用</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投标人应承担其参加投标所涉及的一切费用，不管投标结果如何，采购人对这些费用不负任何责任。</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3.2 投标人在投标活动中提供任何虚假材料或从事其他违法活动的,其投标无效，并报监管部门查处。</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3.3 投标人应仔细阅读招标文件的所有内容，按照招标文件的要求提交投标文件。投标文件应对招标文件的要求作出实质性响应，并对所提供的全部资料的真实性承担法律责任。</w:t>
      </w:r>
    </w:p>
    <w:p>
      <w:pPr>
        <w:adjustRightInd w:val="0"/>
        <w:snapToGrid w:val="0"/>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szCs w:val="21"/>
        </w:rPr>
        <w:t>4.对供应商的限制</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4.1单位负责人（指法定代表人或者法律、行政法规规定代表单位行使职权的主要负责人）为同一人或者存在直接控股、管理关系的不同投标人不得分别参加同一合同项下的采购活动。违反本条规定的，相关投标均无效；</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4.2为本项目提供过整体设计、规范编制或者项目管理、监理、检测等服务的供应商，不得再参加该采购项目的其他采购活动（不包括为该项目提供整体设计、规范编制或者项目管理、监理、检测等服务）；</w:t>
      </w:r>
    </w:p>
    <w:p>
      <w:pPr>
        <w:adjustRightInd w:val="0"/>
        <w:snapToGrid w:val="0"/>
        <w:spacing w:line="360" w:lineRule="auto"/>
        <w:ind w:firstLine="457" w:firstLineChars="218"/>
        <w:rPr>
          <w:rFonts w:asciiTheme="minorEastAsia" w:hAnsiTheme="minorEastAsia" w:eastAsiaTheme="minorEastAsia"/>
          <w:szCs w:val="21"/>
        </w:rPr>
      </w:pPr>
      <w:r>
        <w:rPr>
          <w:rFonts w:hint="eastAsia" w:asciiTheme="minorEastAsia" w:hAnsiTheme="minorEastAsia" w:eastAsiaTheme="minorEastAsia"/>
          <w:szCs w:val="21"/>
        </w:rPr>
        <w:t>4.3以联合体形式参加政府采购活动的，联合体各方不得再单独参加或者与其他供应商另外组成联合体参加同一合同项下的政府采购活动；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w:t>
      </w:r>
      <w:r>
        <w:rPr>
          <w:rFonts w:asciiTheme="minorEastAsia" w:hAnsiTheme="minorEastAsia" w:eastAsiaTheme="minorEastAsia"/>
          <w:szCs w:val="21"/>
        </w:rPr>
        <w:t>为证明投标人拥有的业绩、荣誉、知识产权、项目案例等而在投标文件中提供的证明材料必须为投标人自身所有。不同法人、其他组织的资料与投标人无关。</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4.5</w:t>
      </w:r>
      <w:r>
        <w:rPr>
          <w:rFonts w:asciiTheme="minorEastAsia" w:hAnsiTheme="minorEastAsia" w:eastAsiaTheme="minorEastAsia"/>
          <w:szCs w:val="21"/>
        </w:rPr>
        <w:t>供应商之间的利害关系</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 xml:space="preserve">法定代表人或负责人或实际控制人是夫妻关系；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 xml:space="preserve">法定代表人或负责人或实际控制人是直系血亲关系；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w:t>
      </w:r>
      <w:r>
        <w:rPr>
          <w:rFonts w:asciiTheme="minorEastAsia" w:hAnsiTheme="minorEastAsia" w:eastAsiaTheme="minorEastAsia"/>
          <w:szCs w:val="21"/>
        </w:rPr>
        <w:t xml:space="preserve">法定代表人或负责人或实际控制人存在三代以内旁系血亲关系；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w:t>
      </w:r>
      <w:r>
        <w:rPr>
          <w:rFonts w:asciiTheme="minorEastAsia" w:hAnsiTheme="minorEastAsia" w:eastAsiaTheme="minorEastAsia"/>
          <w:szCs w:val="21"/>
        </w:rPr>
        <w:t xml:space="preserve">法定代表人或负责人或实际控制人存在近姻亲关系；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w:t>
      </w:r>
      <w:r>
        <w:rPr>
          <w:rFonts w:asciiTheme="minorEastAsia" w:hAnsiTheme="minorEastAsia" w:eastAsiaTheme="minorEastAsia"/>
          <w:szCs w:val="21"/>
        </w:rPr>
        <w:t xml:space="preserve">法定代表人或负责人或实际控制人存在股份控制或实际控制关系；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w:t>
      </w:r>
      <w:r>
        <w:rPr>
          <w:rFonts w:asciiTheme="minorEastAsia" w:hAnsiTheme="minorEastAsia" w:eastAsiaTheme="minorEastAsia"/>
          <w:szCs w:val="21"/>
        </w:rPr>
        <w:t xml:space="preserve">存在共同直接或间接投资设立子公司、联营企业和合营企业情况；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w:t>
      </w:r>
      <w:r>
        <w:rPr>
          <w:rFonts w:asciiTheme="minorEastAsia" w:hAnsiTheme="minorEastAsia" w:eastAsiaTheme="minorEastAsia"/>
          <w:szCs w:val="21"/>
        </w:rPr>
        <w:t xml:space="preserve">存在分级代理或代销关系、同一生产制造商关系、管理关系、重要业务（占主营业务收入 50%以 上）或重要财务往来关系（如融资）等其他实质性控制关系； 如供应商之间存在以上利害关系并且存在影响政府采购公平竞争的行为的相关供应商的投标均无 效。 </w:t>
      </w:r>
    </w:p>
    <w:p>
      <w:pPr>
        <w:spacing w:line="360" w:lineRule="auto"/>
        <w:ind w:firstLine="420" w:firstLineChars="200"/>
        <w:rPr>
          <w:rFonts w:asciiTheme="minorEastAsia" w:hAnsiTheme="minorEastAsia" w:eastAsiaTheme="minorEastAsia"/>
          <w:szCs w:val="21"/>
        </w:rPr>
      </w:pPr>
      <w:bookmarkStart w:id="20" w:name="_Toc294777232"/>
      <w:bookmarkStart w:id="21" w:name="_Toc240450078"/>
      <w:bookmarkStart w:id="22" w:name="_Toc251566651"/>
      <w:r>
        <w:rPr>
          <w:rFonts w:hint="eastAsia" w:asciiTheme="minorEastAsia" w:hAnsiTheme="minorEastAsia" w:eastAsiaTheme="minorEastAsia"/>
          <w:szCs w:val="21"/>
        </w:rPr>
        <w:t>4.6</w:t>
      </w:r>
      <w:r>
        <w:rPr>
          <w:rFonts w:asciiTheme="minorEastAsia" w:hAnsiTheme="minorEastAsia" w:eastAsiaTheme="minorEastAsia"/>
          <w:szCs w:val="21"/>
        </w:rPr>
        <w:t>采购人将根据采购项目实际需求确定核心产品，并在采购文件第</w:t>
      </w:r>
      <w:r>
        <w:rPr>
          <w:rFonts w:hint="eastAsia" w:asciiTheme="minorEastAsia" w:hAnsiTheme="minorEastAsia" w:eastAsiaTheme="minorEastAsia"/>
          <w:szCs w:val="21"/>
        </w:rPr>
        <w:t>三部分</w:t>
      </w:r>
      <w:r>
        <w:rPr>
          <w:rFonts w:asciiTheme="minorEastAsia" w:hAnsiTheme="minorEastAsia" w:eastAsiaTheme="minorEastAsia"/>
          <w:szCs w:val="21"/>
        </w:rPr>
        <w:t>“</w:t>
      </w:r>
      <w:r>
        <w:rPr>
          <w:rFonts w:hint="eastAsia" w:asciiTheme="minorEastAsia" w:hAnsiTheme="minorEastAsia" w:eastAsiaTheme="minorEastAsia"/>
          <w:szCs w:val="21"/>
        </w:rPr>
        <w:t>用户需求书</w:t>
      </w:r>
      <w:r>
        <w:rPr>
          <w:rFonts w:asciiTheme="minorEastAsia" w:hAnsiTheme="minorEastAsia" w:eastAsiaTheme="minorEastAsia"/>
          <w:szCs w:val="21"/>
        </w:rPr>
        <w:t>” 中明确标注。</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 xml:space="preserve">采用最低评标价法的采购项目，提供相同品牌产品（含核心产品）的不同投标人参加同一合同项下投标的，以其中通过资格审查、符合性审查且报价最低的参加评标；报价相同的，随机抽取方式确定，其他投标无效。 </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w:t>
      </w:r>
      <w:r>
        <w:rPr>
          <w:rFonts w:asciiTheme="minorEastAsia" w:hAnsiTheme="minorEastAsia" w:eastAsiaTheme="minorEastAsia"/>
          <w:szCs w:val="21"/>
        </w:rPr>
        <w:t>使用综合评分法的采购项目，提供相同品牌产品（含核心产品）且通过资格审查、符合性审查的不同投标人参加同一合同项下投标的，按一家投标人计算，评审后得分最高的同品牌（含核心产品） 投标人获得中标人推荐资格；评审得分相同的，随机抽取方式确定，其他同品牌投标人不作为中标候选人。</w:t>
      </w:r>
    </w:p>
    <w:p>
      <w:pPr>
        <w:spacing w:line="360" w:lineRule="auto"/>
        <w:ind w:firstLine="420" w:firstLineChars="200"/>
        <w:rPr>
          <w:rFonts w:asciiTheme="minorEastAsia" w:hAnsiTheme="minorEastAsia" w:eastAsiaTheme="minorEastAsia"/>
          <w:lang w:val="zh-CN"/>
        </w:rPr>
      </w:pPr>
      <w:r>
        <w:rPr>
          <w:rFonts w:hint="eastAsia" w:asciiTheme="minorEastAsia" w:hAnsiTheme="minorEastAsia" w:eastAsiaTheme="minorEastAsia"/>
        </w:rPr>
        <w:t>4.7</w:t>
      </w:r>
      <w:r>
        <w:rPr>
          <w:rFonts w:hint="eastAsia" w:asciiTheme="minorEastAsia" w:hAnsiTheme="minorEastAsia" w:eastAsiaTheme="minorEastAsia"/>
          <w:lang w:val="zh-CN"/>
        </w:rPr>
        <w:t>投标截止前被</w:t>
      </w:r>
      <w:r>
        <w:rPr>
          <w:rFonts w:hint="eastAsia" w:asciiTheme="minorEastAsia" w:hAnsiTheme="minorEastAsia" w:eastAsiaTheme="minorEastAsia"/>
        </w:rPr>
        <w:t>“</w:t>
      </w:r>
      <w:r>
        <w:rPr>
          <w:rFonts w:hint="eastAsia" w:asciiTheme="minorEastAsia" w:hAnsiTheme="minorEastAsia" w:eastAsiaTheme="minorEastAsia"/>
          <w:lang w:val="zh-CN"/>
        </w:rPr>
        <w:t>信用中国</w:t>
      </w:r>
      <w:r>
        <w:rPr>
          <w:rFonts w:hint="eastAsia" w:asciiTheme="minorEastAsia" w:hAnsiTheme="minorEastAsia" w:eastAsiaTheme="minorEastAsia"/>
        </w:rPr>
        <w:t>”</w:t>
      </w:r>
      <w:r>
        <w:rPr>
          <w:rFonts w:hint="eastAsia" w:asciiTheme="minorEastAsia" w:hAnsiTheme="minorEastAsia" w:eastAsiaTheme="minorEastAsia"/>
          <w:lang w:val="zh-CN"/>
        </w:rPr>
        <w:t>网站</w:t>
      </w:r>
      <w:r>
        <w:rPr>
          <w:rFonts w:hint="eastAsia" w:asciiTheme="minorEastAsia" w:hAnsiTheme="minorEastAsia" w:eastAsiaTheme="minorEastAsia"/>
        </w:rPr>
        <w:t>(</w:t>
      </w:r>
      <w:r>
        <w:fldChar w:fldCharType="begin"/>
      </w:r>
      <w:r>
        <w:instrText xml:space="preserve"> HYPERLINK "http://www.creditchina.gov.cn" </w:instrText>
      </w:r>
      <w:r>
        <w:fldChar w:fldCharType="separate"/>
      </w:r>
      <w:r>
        <w:rPr>
          <w:rStyle w:val="52"/>
          <w:rFonts w:hint="eastAsia" w:asciiTheme="minorEastAsia" w:hAnsiTheme="minorEastAsia" w:eastAsiaTheme="minorEastAsia"/>
          <w:color w:val="auto"/>
        </w:rPr>
        <w:t>www.creditchina.gov.cn</w:t>
      </w:r>
      <w:r>
        <w:rPr>
          <w:rStyle w:val="52"/>
          <w:rFonts w:hint="eastAsia" w:asciiTheme="minorEastAsia" w:hAnsiTheme="minorEastAsia" w:eastAsiaTheme="minorEastAsia"/>
          <w:color w:val="auto"/>
        </w:rPr>
        <w:fldChar w:fldCharType="end"/>
      </w:r>
      <w:r>
        <w:rPr>
          <w:rFonts w:hint="eastAsia" w:asciiTheme="minorEastAsia" w:hAnsiTheme="minorEastAsia" w:eastAsiaTheme="minorEastAsia"/>
        </w:rPr>
        <w:t>)</w:t>
      </w:r>
      <w:r>
        <w:rPr>
          <w:rFonts w:hint="eastAsia" w:asciiTheme="minorEastAsia" w:hAnsiTheme="minorEastAsia" w:eastAsiaTheme="minorEastAsia"/>
          <w:lang w:val="zh-CN"/>
        </w:rPr>
        <w:t>列入失信被执行人、重大税收违法案件当事人名单或被</w:t>
      </w:r>
      <w:r>
        <w:rPr>
          <w:rFonts w:hint="eastAsia" w:asciiTheme="minorEastAsia" w:hAnsiTheme="minorEastAsia" w:eastAsiaTheme="minorEastAsia"/>
        </w:rPr>
        <w:t>“</w:t>
      </w:r>
      <w:r>
        <w:rPr>
          <w:rFonts w:hint="eastAsia" w:asciiTheme="minorEastAsia" w:hAnsiTheme="minorEastAsia" w:eastAsiaTheme="minorEastAsia"/>
          <w:lang w:val="zh-CN"/>
        </w:rPr>
        <w:t>中国政府采购网</w:t>
      </w:r>
      <w:r>
        <w:rPr>
          <w:rFonts w:hint="eastAsia" w:asciiTheme="minorEastAsia" w:hAnsiTheme="minorEastAsia" w:eastAsiaTheme="minorEastAsia"/>
        </w:rPr>
        <w:t>”(</w:t>
      </w:r>
      <w:r>
        <w:fldChar w:fldCharType="begin"/>
      </w:r>
      <w:r>
        <w:instrText xml:space="preserve"> HYPERLINK "http://www.ccgp.gov.cn" </w:instrText>
      </w:r>
      <w:r>
        <w:fldChar w:fldCharType="separate"/>
      </w:r>
      <w:r>
        <w:rPr>
          <w:rStyle w:val="52"/>
          <w:rFonts w:hint="eastAsia" w:asciiTheme="minorEastAsia" w:hAnsiTheme="minorEastAsia" w:eastAsiaTheme="minorEastAsia"/>
          <w:color w:val="auto"/>
        </w:rPr>
        <w:t>www.ccgp.gov.cn</w:t>
      </w:r>
      <w:r>
        <w:rPr>
          <w:rStyle w:val="52"/>
          <w:rFonts w:hint="eastAsia" w:asciiTheme="minorEastAsia" w:hAnsiTheme="minorEastAsia" w:eastAsiaTheme="minorEastAsia"/>
          <w:color w:val="auto"/>
        </w:rPr>
        <w:fldChar w:fldCharType="end"/>
      </w:r>
      <w:r>
        <w:rPr>
          <w:rFonts w:hint="eastAsia" w:asciiTheme="minorEastAsia" w:hAnsiTheme="minorEastAsia" w:eastAsiaTheme="minorEastAsia"/>
        </w:rPr>
        <w:t>)</w:t>
      </w:r>
      <w:r>
        <w:rPr>
          <w:rFonts w:hint="eastAsia" w:asciiTheme="minorEastAsia" w:hAnsiTheme="minorEastAsia" w:eastAsiaTheme="minorEastAsia"/>
          <w:lang w:val="zh-CN"/>
        </w:rPr>
        <w:t>列入政府采购严重违法失信行为记录名单等存在不良信用记录的供应商将被拒绝参加本项目采购活动。具体以投标截止当日招标代理机构在上述两个网站上查询到的信息为准。</w:t>
      </w:r>
    </w:p>
    <w:p>
      <w:pPr>
        <w:spacing w:line="360" w:lineRule="auto"/>
        <w:ind w:firstLine="420" w:firstLineChars="200"/>
        <w:rPr>
          <w:rFonts w:asciiTheme="minorEastAsia" w:hAnsiTheme="minorEastAsia" w:eastAsiaTheme="minorEastAsia"/>
        </w:rPr>
      </w:pPr>
      <w:bookmarkStart w:id="23" w:name="_Toc525308252"/>
      <w:r>
        <w:rPr>
          <w:rFonts w:hint="eastAsia" w:asciiTheme="minorEastAsia" w:hAnsiTheme="minorEastAsia" w:eastAsiaTheme="minorEastAsia"/>
        </w:rPr>
        <w:t>两个以上的自然人、法人或者其他组织组成一个联合体，以一个供应商的身份共同参加政府采购活动的，将对所有联合体成员进行信用记录查询，联合体成员存在不良信用记录的，视同联合体存在不良信用记录。</w:t>
      </w:r>
      <w:bookmarkEnd w:id="23"/>
    </w:p>
    <w:p>
      <w:pPr>
        <w:rPr>
          <w:rFonts w:asciiTheme="minorEastAsia" w:hAnsiTheme="minorEastAsia" w:eastAsiaTheme="minorEastAsia"/>
          <w:lang w:val="zh-CN"/>
        </w:rPr>
      </w:pPr>
    </w:p>
    <w:p>
      <w:pPr>
        <w:pStyle w:val="4"/>
        <w:snapToGrid w:val="0"/>
        <w:spacing w:before="0" w:after="0" w:line="360" w:lineRule="auto"/>
        <w:rPr>
          <w:rFonts w:asciiTheme="minorEastAsia" w:hAnsiTheme="minorEastAsia" w:eastAsiaTheme="minorEastAsia"/>
          <w:bCs w:val="0"/>
          <w:sz w:val="21"/>
          <w:szCs w:val="24"/>
          <w:lang w:val="zh-CN"/>
        </w:rPr>
      </w:pPr>
      <w:bookmarkStart w:id="24" w:name="_Toc525308253"/>
      <w:bookmarkStart w:id="25" w:name="_Toc23154217"/>
      <w:r>
        <w:rPr>
          <w:rFonts w:hint="eastAsia" w:asciiTheme="minorEastAsia" w:hAnsiTheme="minorEastAsia" w:eastAsiaTheme="minorEastAsia"/>
          <w:bCs w:val="0"/>
          <w:sz w:val="21"/>
          <w:szCs w:val="24"/>
          <w:lang w:val="zh-CN"/>
        </w:rPr>
        <w:t>二、招标文件</w:t>
      </w:r>
      <w:bookmarkEnd w:id="20"/>
      <w:bookmarkEnd w:id="21"/>
      <w:bookmarkEnd w:id="22"/>
      <w:bookmarkEnd w:id="24"/>
      <w:bookmarkEnd w:id="25"/>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5．招标文件构成</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5.1 本招标文件包括目录所示内容及所有按本须知第6条发出的补充资料。</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5.2 除上述所列内容外，采购人和采购代理机构的任何工作人员对投标人所作的任何口头解释、介绍、答复，只能供投标人参考，对采购人、采购代理机构和投标人无任何约束力。</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5.3 招标文件是招标过程进行的有效依据，也是成交后签订合同的依据，对双方均具有约束力，凡不遵守招标文件规定或对招标文件的实质性内容不响应的，将可能被拒绝或以无效标处理。</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5.4 本招标文件由采购人或采购代理机构依据相关法律、法规、规章、省市规定及招标文件进行解释。</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6．招标文件的澄清</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6.1 投标人在收到招标文件后，若有问题需要澄清或认为有必要与采购人进行技术交流，应于前附表规定的时间前，将问题传真至0571-88821402-820，同时将问题发电子邮件至znzbdl@163.com（电子邮件与书面文件有不一致的，以书面文件为准）。截止期后的疑问将不予受理、答复。</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6.2 投标人要求解释或澄清的问题应以书面形式送达，并加盖公章、写明日期。</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6.3 所有要求解释或澄清的问题都予以解答，答疑文件与补充文件一起以书面形式告知所有购买招标文件的投标人。</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7．招标文件的修改</w:t>
      </w:r>
    </w:p>
    <w:p>
      <w:pPr>
        <w:pStyle w:val="131"/>
        <w:adjustRightInd w:val="0"/>
        <w:snapToGrid w:val="0"/>
        <w:spacing w:before="0"/>
        <w:ind w:firstLine="420"/>
        <w:rPr>
          <w:rFonts w:asciiTheme="minorEastAsia" w:hAnsiTheme="minorEastAsia" w:eastAsiaTheme="minorEastAsia"/>
          <w:sz w:val="21"/>
        </w:rPr>
      </w:pPr>
      <w:r>
        <w:rPr>
          <w:rFonts w:hint="eastAsia" w:asciiTheme="minorEastAsia" w:hAnsiTheme="minorEastAsia" w:eastAsiaTheme="minorEastAsia"/>
          <w:sz w:val="21"/>
        </w:rPr>
        <w:t>7.1 在投标截止期前，由于各种原因，不论是自己主动提出还是答复投标人的澄清要求，采购人可能会对已发出的招标文件进行必要澄清或者修改的，将在招标文件要求提交投标文件截止时间十五日前，在财政部门指定的政府采购信息发布媒体上发布更正公告，并以书面形式通知所有招标文件收受人；不足十五日的，采购代理机构将顺延提交投标文件的截止时间。该澄清或者修改的内容为招标文件的组成部分。</w:t>
      </w:r>
    </w:p>
    <w:p>
      <w:pPr>
        <w:pStyle w:val="131"/>
        <w:adjustRightInd w:val="0"/>
        <w:snapToGrid w:val="0"/>
        <w:spacing w:before="0"/>
        <w:ind w:firstLine="420"/>
        <w:rPr>
          <w:rFonts w:asciiTheme="minorEastAsia" w:hAnsiTheme="minorEastAsia" w:eastAsiaTheme="minorEastAsia"/>
          <w:sz w:val="21"/>
        </w:rPr>
      </w:pPr>
      <w:r>
        <w:rPr>
          <w:rFonts w:hint="eastAsia" w:asciiTheme="minorEastAsia" w:hAnsiTheme="minorEastAsia" w:eastAsiaTheme="minorEastAsia"/>
          <w:sz w:val="21"/>
        </w:rPr>
        <w:t>7.2 招标文件的修改将以书面形式，包括邮寄、传真和电传，通知所有购买招标文件的投标人，并对其具有约束力并同时在财政部门指定的政府采购信息发布媒体上发布更正公告。投标人在收到上述通知后，应在24小时内向采购代理机构回函确认。</w:t>
      </w:r>
    </w:p>
    <w:p>
      <w:pPr>
        <w:pStyle w:val="131"/>
        <w:adjustRightInd w:val="0"/>
        <w:snapToGrid w:val="0"/>
        <w:spacing w:before="0"/>
        <w:ind w:firstLine="420"/>
        <w:rPr>
          <w:rFonts w:asciiTheme="minorEastAsia" w:hAnsiTheme="minorEastAsia" w:eastAsiaTheme="minorEastAsia"/>
          <w:sz w:val="21"/>
        </w:rPr>
      </w:pPr>
      <w:r>
        <w:rPr>
          <w:rFonts w:hint="eastAsia" w:asciiTheme="minorEastAsia" w:hAnsiTheme="minorEastAsia" w:eastAsiaTheme="minorEastAsia"/>
          <w:sz w:val="21"/>
        </w:rPr>
        <w:t>7.3 采购代理机构可以视采购具体情况，延长投标截止时间和开标时间，但至少应当在招标文件要求提交投标文件的截止时间三日前，将变更时间书面通知所有招标文件收受人，并在财政部门指定的政府采购信息发布媒体上发布变更公告。</w:t>
      </w:r>
    </w:p>
    <w:p>
      <w:pPr>
        <w:pStyle w:val="131"/>
        <w:adjustRightInd w:val="0"/>
        <w:snapToGrid w:val="0"/>
        <w:spacing w:before="0"/>
        <w:ind w:firstLine="420"/>
        <w:rPr>
          <w:rFonts w:asciiTheme="minorEastAsia" w:hAnsiTheme="minorEastAsia" w:eastAsiaTheme="minorEastAsia"/>
          <w:sz w:val="21"/>
        </w:rPr>
      </w:pPr>
      <w:r>
        <w:rPr>
          <w:rFonts w:hint="eastAsia" w:asciiTheme="minorEastAsia" w:hAnsiTheme="minorEastAsia" w:eastAsiaTheme="minorEastAsia"/>
          <w:sz w:val="21"/>
        </w:rPr>
        <w:t>7.4招标文件澄清、答复、修改、补充的内容为招标文件的组成部分。当招标文件与招标文件的答复、澄清、修改、补充通知就同一内容的表述不一致时，以最后发出的书面文件为准。</w:t>
      </w:r>
    </w:p>
    <w:p>
      <w:pPr>
        <w:pStyle w:val="131"/>
        <w:adjustRightInd w:val="0"/>
        <w:snapToGrid w:val="0"/>
        <w:spacing w:before="0"/>
        <w:ind w:firstLine="420"/>
        <w:rPr>
          <w:rFonts w:asciiTheme="minorEastAsia" w:hAnsiTheme="minorEastAsia" w:eastAsiaTheme="minorEastAsia"/>
          <w:sz w:val="21"/>
        </w:rPr>
      </w:pPr>
      <w:r>
        <w:rPr>
          <w:rFonts w:hint="eastAsia" w:asciiTheme="minorEastAsia" w:hAnsiTheme="minorEastAsia" w:eastAsiaTheme="minorEastAsia"/>
          <w:sz w:val="21"/>
        </w:rPr>
        <w:t>7.5招标文件的澄清、答复、修改或补充都应该通过本代理机构以法定形式发布，除此以外的发布不属于招标文件的组成部分。</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rPr>
        <w:t>7.6在招标文件发售截止后，经采购人同意购买招标文件的投标人不得对招标文件及其补充文件提出答疑或质疑。</w:t>
      </w:r>
    </w:p>
    <w:p>
      <w:pPr>
        <w:pStyle w:val="4"/>
        <w:snapToGrid w:val="0"/>
        <w:spacing w:before="0" w:after="0" w:line="360" w:lineRule="auto"/>
        <w:rPr>
          <w:rFonts w:asciiTheme="minorEastAsia" w:hAnsiTheme="minorEastAsia" w:eastAsiaTheme="minorEastAsia"/>
          <w:snapToGrid w:val="0"/>
          <w:kern w:val="0"/>
          <w:sz w:val="21"/>
          <w:szCs w:val="21"/>
        </w:rPr>
      </w:pPr>
      <w:bookmarkStart w:id="26" w:name="_Toc525308254"/>
      <w:bookmarkStart w:id="27" w:name="_Toc23154218"/>
      <w:r>
        <w:rPr>
          <w:rFonts w:hint="eastAsia" w:asciiTheme="minorEastAsia" w:hAnsiTheme="minorEastAsia" w:eastAsiaTheme="minorEastAsia"/>
          <w:snapToGrid w:val="0"/>
          <w:kern w:val="0"/>
          <w:sz w:val="21"/>
          <w:szCs w:val="21"/>
        </w:rPr>
        <w:t>三、投标文件的编制</w:t>
      </w:r>
      <w:bookmarkEnd w:id="18"/>
      <w:bookmarkEnd w:id="19"/>
      <w:bookmarkEnd w:id="26"/>
      <w:bookmarkEnd w:id="27"/>
    </w:p>
    <w:p>
      <w:pPr>
        <w:adjustRightInd w:val="0"/>
        <w:snapToGrid w:val="0"/>
        <w:spacing w:line="360" w:lineRule="auto"/>
        <w:ind w:firstLine="422" w:firstLineChars="20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标人应认真阅读招标文件中所有的事项、格式、条款和技术要求等。如果投标人没有按照招标文件要求和规定编制投标文件及提交全部资料，或者投标没有对招标文件中各方面作出实质性响应，其风险应由投标人承担。</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8．投标文件的语言及计量单位</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8.1 投标文件及投标人与采购人之间与投标有关的来往通知、函件和文件均应使用简体中文。除签名、盖章、专用名称等特殊情形外，以中文汉语以外的文字表述的投标文件视同未提供。投标人提交的支持文件和印刷的文献可以用另一种语言，但相应内容应附有中文翻译文本，在解释投标文件时以中文翻译文本为准。</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8.2 除招标文件另有规定外，投标文件所使用的计量单位，均须采用中华人民共和国法定计量单位，否则视同未响应。</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9．投标文件构成</w:t>
      </w:r>
    </w:p>
    <w:p>
      <w:pPr>
        <w:pStyle w:val="25"/>
        <w:snapToGrid w:val="0"/>
        <w:spacing w:line="360" w:lineRule="auto"/>
        <w:ind w:firstLine="420" w:firstLineChars="200"/>
        <w:rPr>
          <w:rFonts w:cs="仿宋_GB2312" w:asciiTheme="minorEastAsia" w:hAnsiTheme="minorEastAsia" w:eastAsiaTheme="minorEastAsia"/>
        </w:rPr>
      </w:pPr>
      <w:r>
        <w:rPr>
          <w:rFonts w:hint="eastAsia" w:cs="仿宋_GB2312" w:asciiTheme="minorEastAsia" w:hAnsiTheme="minorEastAsia" w:eastAsiaTheme="minorEastAsia"/>
          <w:kern w:val="0"/>
        </w:rPr>
        <w:t>投标文件应当包括以下主要内容：</w:t>
      </w:r>
      <w:r>
        <w:rPr>
          <w:rFonts w:hint="eastAsia" w:cs="仿宋_GB2312" w:asciiTheme="minorEastAsia" w:hAnsiTheme="minorEastAsia" w:eastAsiaTheme="minorEastAsia"/>
          <w:b/>
        </w:rPr>
        <w:t>资格文件，报价文件，商务、技术文件</w:t>
      </w:r>
      <w:r>
        <w:rPr>
          <w:rFonts w:hint="eastAsia" w:cs="仿宋_GB2312" w:asciiTheme="minorEastAsia" w:hAnsiTheme="minorEastAsia" w:eastAsiaTheme="minorEastAsia"/>
        </w:rPr>
        <w:t>。</w:t>
      </w:r>
    </w:p>
    <w:p>
      <w:pPr>
        <w:snapToGrid w:val="0"/>
        <w:spacing w:line="360" w:lineRule="auto"/>
        <w:ind w:firstLine="422" w:firstLineChars="200"/>
        <w:rPr>
          <w:rFonts w:cs="Helvetica" w:asciiTheme="minorEastAsia" w:hAnsiTheme="minorEastAsia" w:eastAsiaTheme="minorEastAsia"/>
          <w:kern w:val="0"/>
          <w:szCs w:val="21"/>
        </w:rPr>
      </w:pPr>
      <w:r>
        <w:rPr>
          <w:rFonts w:hint="eastAsia" w:cs="仿宋_GB2312" w:asciiTheme="minorEastAsia" w:hAnsiTheme="minorEastAsia" w:eastAsiaTheme="minorEastAsia"/>
          <w:b/>
          <w:szCs w:val="21"/>
        </w:rPr>
        <w:t>9.1</w:t>
      </w:r>
      <w:r>
        <w:rPr>
          <w:rFonts w:hint="eastAsia" w:asciiTheme="minorEastAsia" w:hAnsiTheme="minorEastAsia" w:eastAsiaTheme="minorEastAsia"/>
          <w:b/>
          <w:szCs w:val="21"/>
        </w:rPr>
        <w:t>资格审查要求的资格证明材料(均需加盖公章)：</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（1）有效的法人或者其他组织的营业执照等证明文件（复印件），自然人的身份证明；</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w:t>
      </w:r>
      <w:r>
        <w:rPr>
          <w:rFonts w:hint="eastAsia" w:asciiTheme="minorEastAsia" w:hAnsiTheme="minorEastAsia" w:eastAsiaTheme="minorEastAsia"/>
          <w:szCs w:val="21"/>
          <w:lang w:val="zh-CN"/>
        </w:rPr>
        <w:t>提供上一年度经第三方审计的财务报告（若投标时间为1-6月，上一年度财务审计报告还未完成的，须提供再上一年度的财务审计报告），包括“四表一注”，即资产负债表、利润表、现金流量表、所有者权益变动表及其附注(执行《小企业会计准则》的可不提供“所有者权益变动表”)；未经审计的，提供近6个月任意一月财务报表（资产负债表、利润表）或开标前三个月内其基本开户银行出具的资信证明（若资信证明中注明复印无效，需提交正本），并加盖公章或财政部门认可的采购专业担保机构出具的投标担保函；</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（3）最近六个月任意一月依法缴纳税收的证明材料（依法免税的投标人，应提供相应文件证明其依法免税）；</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（4）最近六个月任意一月依法缴社会保障资金的证明材料（依法不需要缴纳社会保障资金的投标人，应提供相应文件证明其依法不需要缴纳社会保障资金）；</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（5）具有履行合同所必需的设备和专业技术能力的承诺函；</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（6）参加政府采购活动前3年内在经营活动中没有重大违法记录的书面声明；</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（7）投标截止前未被“信用中国”网站(www.creditchina.gov.cn)列入失信被执行人、重大税收违法案件当事人名单；未被“中国政府采购网”(www.ccgp.gov.cn)列入政府采购严重违法失信行为记录名单。</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（8）</w:t>
      </w:r>
      <w:r>
        <w:rPr>
          <w:rFonts w:asciiTheme="minorEastAsia" w:hAnsiTheme="minorEastAsia" w:eastAsiaTheme="minorEastAsia"/>
          <w:snapToGrid w:val="0"/>
          <w:kern w:val="0"/>
          <w:szCs w:val="21"/>
        </w:rPr>
        <w:t>投标人特定资格条件（如有）</w:t>
      </w:r>
      <w:r>
        <w:rPr>
          <w:rFonts w:hint="eastAsia" w:asciiTheme="minorEastAsia" w:hAnsiTheme="minorEastAsia" w:eastAsiaTheme="minorEastAsia"/>
          <w:snapToGrid w:val="0"/>
          <w:kern w:val="0"/>
          <w:szCs w:val="21"/>
        </w:rPr>
        <w:t>。</w:t>
      </w:r>
    </w:p>
    <w:p>
      <w:pPr>
        <w:adjustRightInd w:val="0"/>
        <w:snapToGrid w:val="0"/>
        <w:spacing w:line="360" w:lineRule="auto"/>
        <w:ind w:firstLine="314" w:firstLineChars="149"/>
        <w:jc w:val="left"/>
        <w:rPr>
          <w:rFonts w:asciiTheme="minorEastAsia" w:hAnsiTheme="minorEastAsia" w:eastAsiaTheme="minorEastAsia"/>
          <w:snapToGrid w:val="0"/>
          <w:kern w:val="0"/>
          <w:szCs w:val="21"/>
        </w:rPr>
      </w:pPr>
      <w:bookmarkStart w:id="28" w:name="_Hlt68403820"/>
      <w:bookmarkEnd w:id="28"/>
      <w:bookmarkStart w:id="29" w:name="_Hlt68072998"/>
      <w:bookmarkEnd w:id="29"/>
      <w:bookmarkStart w:id="30" w:name="_Hlt68073093"/>
      <w:bookmarkEnd w:id="30"/>
      <w:r>
        <w:rPr>
          <w:rFonts w:hint="eastAsia" w:asciiTheme="minorEastAsia" w:hAnsiTheme="minorEastAsia" w:eastAsiaTheme="minorEastAsia"/>
          <w:b/>
          <w:snapToGrid w:val="0"/>
          <w:kern w:val="0"/>
          <w:szCs w:val="21"/>
        </w:rPr>
        <w:t>9.2 报价文件：</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（1）投标函；</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（2）开标一览表；</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（3）投标报价明细表；</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（4）小微企业资格证明材料、监狱企业资格证明材料</w:t>
      </w:r>
    </w:p>
    <w:p>
      <w:pPr>
        <w:adjustRightInd w:val="0"/>
        <w:snapToGrid w:val="0"/>
        <w:spacing w:line="360" w:lineRule="auto"/>
        <w:ind w:firstLine="422"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b/>
          <w:snapToGrid w:val="0"/>
          <w:kern w:val="0"/>
          <w:szCs w:val="21"/>
        </w:rPr>
        <w:t>9.3</w:t>
      </w:r>
      <w:r>
        <w:rPr>
          <w:rFonts w:hint="eastAsia" w:cs="仿宋_GB2312" w:asciiTheme="minorEastAsia" w:hAnsiTheme="minorEastAsia" w:eastAsiaTheme="minorEastAsia"/>
          <w:b/>
          <w:szCs w:val="21"/>
        </w:rPr>
        <w:t>商务、技术文件</w:t>
      </w:r>
      <w:r>
        <w:rPr>
          <w:rFonts w:hint="eastAsia" w:asciiTheme="minorEastAsia" w:hAnsiTheme="minorEastAsia" w:eastAsiaTheme="minorEastAsia"/>
          <w:snapToGrid w:val="0"/>
          <w:kern w:val="0"/>
          <w:szCs w:val="21"/>
        </w:rPr>
        <w:t>：</w:t>
      </w:r>
    </w:p>
    <w:p>
      <w:pPr>
        <w:adjustRightInd w:val="0"/>
        <w:snapToGrid w:val="0"/>
        <w:spacing w:line="360" w:lineRule="auto"/>
        <w:ind w:firstLine="422" w:firstLineChars="200"/>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商务文件,内容可以是资料，图表或说明，必须包含但不仅限于以下内容：</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（1）投标人基本情况表。</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（2）廉政承诺书。</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（3）法定代表人资格证明书及法定代表人授权书，同时须附法定代表人和授权委托代表的有效身份证复印件（法定代表人直接参加投标并对相应文件签字的，只需提供前者）；</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（4）合同条款偏离表。</w:t>
      </w:r>
    </w:p>
    <w:p>
      <w:pPr>
        <w:adjustRightInd w:val="0"/>
        <w:snapToGrid w:val="0"/>
        <w:spacing w:line="360" w:lineRule="auto"/>
        <w:ind w:firstLine="316" w:firstLineChars="150"/>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技术文件，内容可以是资料，图表或说明，必须包含但不仅限于以下内容：</w:t>
      </w:r>
    </w:p>
    <w:p>
      <w:pPr>
        <w:snapToGrid w:val="0"/>
        <w:spacing w:line="360" w:lineRule="auto"/>
        <w:ind w:firstLine="420" w:firstLineChars="200"/>
        <w:rPr>
          <w:rFonts w:cs="仿宋_GB2312" w:asciiTheme="minorEastAsia" w:hAnsiTheme="minorEastAsia" w:eastAsiaTheme="minorEastAsia"/>
          <w:kern w:val="0"/>
          <w:szCs w:val="21"/>
          <w:lang w:val="zh-CN"/>
        </w:rPr>
      </w:pPr>
      <w:r>
        <w:rPr>
          <w:rFonts w:hint="eastAsia" w:asciiTheme="minorEastAsia" w:hAnsiTheme="minorEastAsia" w:eastAsiaTheme="minorEastAsia"/>
          <w:bCs/>
          <w:szCs w:val="21"/>
        </w:rPr>
        <w:t>（1）</w:t>
      </w:r>
      <w:r>
        <w:rPr>
          <w:rFonts w:hint="eastAsia" w:cs="仿宋_GB2312" w:asciiTheme="minorEastAsia" w:hAnsiTheme="minorEastAsia" w:eastAsiaTheme="minorEastAsia"/>
          <w:szCs w:val="21"/>
          <w:lang w:val="zh-CN"/>
        </w:rPr>
        <w:t>针对本项目的完整技术解决方案和实施方案；详细阐述项目方案的实现思路及关键技术；符合本项目对当前和未来发展的要求；以及对功能设计和实施计划的建议；</w:t>
      </w:r>
    </w:p>
    <w:p>
      <w:pPr>
        <w:pStyle w:val="25"/>
        <w:snapToGrid w:val="0"/>
        <w:spacing w:line="360" w:lineRule="auto"/>
        <w:ind w:firstLine="422" w:firstLineChars="200"/>
        <w:rPr>
          <w:rFonts w:cs="仿宋_GB2312" w:asciiTheme="minorEastAsia" w:hAnsiTheme="minorEastAsia" w:eastAsiaTheme="minorEastAsia"/>
          <w:kern w:val="0"/>
          <w:lang w:val="zh-CN"/>
        </w:rPr>
      </w:pPr>
      <w:r>
        <w:rPr>
          <w:rFonts w:hint="eastAsia" w:cs="仿宋_GB2312" w:asciiTheme="minorEastAsia" w:hAnsiTheme="minorEastAsia" w:eastAsiaTheme="minorEastAsia"/>
          <w:b/>
        </w:rPr>
        <w:t>如果本项目涉及硬件设备采购，还需提供相关设备完整配置方案（设备名称、品牌、规格型号、数量、主要技术参数等）</w:t>
      </w:r>
      <w:r>
        <w:rPr>
          <w:rFonts w:hint="eastAsia" w:cs="仿宋_GB2312" w:asciiTheme="minorEastAsia" w:hAnsiTheme="minorEastAsia" w:eastAsiaTheme="minorEastAsia"/>
        </w:rPr>
        <w:t>，</w:t>
      </w:r>
      <w:r>
        <w:rPr>
          <w:rFonts w:hint="eastAsia" w:cs="仿宋_GB2312" w:asciiTheme="minorEastAsia" w:hAnsiTheme="minorEastAsia" w:eastAsiaTheme="minorEastAsia"/>
          <w:b/>
        </w:rPr>
        <w:t>提供主要投标产品的技术参数证明材料（如官网截图、产品彩页、原厂技术说明等），</w:t>
      </w:r>
      <w:r>
        <w:rPr>
          <w:rFonts w:hint="eastAsia" w:cs="仿宋_GB2312" w:asciiTheme="minorEastAsia" w:hAnsiTheme="minorEastAsia" w:eastAsiaTheme="minorEastAsia"/>
        </w:rPr>
        <w:t>明确表示该项指标所涉及的软硬件是标准配置还是选择配置</w:t>
      </w:r>
      <w:r>
        <w:rPr>
          <w:rFonts w:hint="eastAsia" w:cs="仿宋_GB2312" w:asciiTheme="minorEastAsia" w:hAnsiTheme="minorEastAsia" w:eastAsiaTheme="minorEastAsia"/>
          <w:b/>
        </w:rPr>
        <w:t>（所有技术指标表述均应采用中文，如当前公布的技术指标只有英文表述的，必须由投标人作出中文注释，否则</w:t>
      </w:r>
      <w:r>
        <w:rPr>
          <w:rFonts w:hint="eastAsia" w:cs="仿宋_GB2312" w:asciiTheme="minorEastAsia" w:hAnsiTheme="minorEastAsia" w:eastAsiaTheme="minorEastAsia"/>
          <w:b/>
          <w:kern w:val="0"/>
          <w:lang w:val="zh-CN"/>
        </w:rPr>
        <w:t>任何含糊不清的</w:t>
      </w:r>
      <w:r>
        <w:rPr>
          <w:rFonts w:hint="eastAsia" w:cs="仿宋_GB2312" w:asciiTheme="minorEastAsia" w:hAnsiTheme="minorEastAsia" w:eastAsiaTheme="minorEastAsia"/>
          <w:b/>
        </w:rPr>
        <w:t>表述导致</w:t>
      </w:r>
      <w:r>
        <w:rPr>
          <w:rFonts w:hint="eastAsia" w:cs="仿宋_GB2312" w:asciiTheme="minorEastAsia" w:hAnsiTheme="minorEastAsia" w:eastAsiaTheme="minorEastAsia"/>
          <w:b/>
          <w:kern w:val="0"/>
          <w:lang w:val="zh-CN"/>
        </w:rPr>
        <w:t>评标委员会技术扣分直至认定为投标无效都将是投标人的责任）</w:t>
      </w:r>
      <w:r>
        <w:rPr>
          <w:rFonts w:hint="eastAsia" w:cs="仿宋_GB2312" w:asciiTheme="minorEastAsia" w:hAnsiTheme="minorEastAsia" w:eastAsiaTheme="minorEastAsia"/>
        </w:rPr>
        <w:t>。</w:t>
      </w:r>
    </w:p>
    <w:p>
      <w:pPr>
        <w:tabs>
          <w:tab w:val="left" w:pos="900"/>
        </w:tabs>
        <w:adjustRightInd w:val="0"/>
        <w:snapToGrid w:val="0"/>
        <w:spacing w:line="360" w:lineRule="auto"/>
        <w:ind w:firstLine="424" w:firstLineChars="202"/>
        <w:rPr>
          <w:rFonts w:asciiTheme="minorEastAsia" w:hAnsiTheme="minorEastAsia" w:eastAsiaTheme="minorEastAsia"/>
          <w:kern w:val="0"/>
          <w:lang w:val="zh-CN"/>
        </w:rPr>
      </w:pPr>
      <w:r>
        <w:rPr>
          <w:rFonts w:hint="eastAsia" w:asciiTheme="minorEastAsia" w:hAnsiTheme="minorEastAsia" w:eastAsiaTheme="minorEastAsia"/>
          <w:kern w:val="0"/>
        </w:rPr>
        <w:t>（</w:t>
      </w:r>
      <w:r>
        <w:rPr>
          <w:rFonts w:hint="eastAsia" w:asciiTheme="minorEastAsia" w:hAnsiTheme="minorEastAsia" w:eastAsiaTheme="minorEastAsia"/>
        </w:rPr>
        <w:t>2）投标人在投标文件技术偏离说明表中，应对项目技术规范和服务要求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pPr>
        <w:tabs>
          <w:tab w:val="left" w:pos="900"/>
        </w:tabs>
        <w:adjustRightInd w:val="0"/>
        <w:snapToGrid w:val="0"/>
        <w:spacing w:line="360" w:lineRule="auto"/>
        <w:ind w:firstLine="424" w:firstLineChars="202"/>
        <w:rPr>
          <w:rFonts w:asciiTheme="minorEastAsia" w:hAnsiTheme="minorEastAsia" w:eastAsiaTheme="minorEastAsia"/>
        </w:rPr>
      </w:pPr>
      <w:r>
        <w:rPr>
          <w:rFonts w:asciiTheme="minorEastAsia" w:hAnsiTheme="minorEastAsia" w:eastAsiaTheme="minorEastAsia"/>
          <w:kern w:val="0"/>
          <w:lang w:val="zh-CN"/>
        </w:rPr>
        <w:t>（</w:t>
      </w:r>
      <w:r>
        <w:rPr>
          <w:rFonts w:hint="eastAsia" w:asciiTheme="minorEastAsia" w:hAnsiTheme="minorEastAsia" w:eastAsiaTheme="minorEastAsia"/>
          <w:kern w:val="0"/>
          <w:lang w:val="zh-CN"/>
        </w:rPr>
        <w:t>3</w:t>
      </w:r>
      <w:r>
        <w:rPr>
          <w:rFonts w:asciiTheme="minorEastAsia" w:hAnsiTheme="minorEastAsia" w:eastAsiaTheme="minorEastAsia"/>
          <w:kern w:val="0"/>
          <w:lang w:val="zh-CN"/>
        </w:rPr>
        <w:t>）</w:t>
      </w:r>
      <w:r>
        <w:rPr>
          <w:rFonts w:hint="eastAsia" w:asciiTheme="minorEastAsia" w:hAnsiTheme="minorEastAsia" w:eastAsiaTheme="minorEastAsia"/>
        </w:rPr>
        <w:t>项目进度计划及按期完成保证措施；</w:t>
      </w:r>
    </w:p>
    <w:p>
      <w:pPr>
        <w:tabs>
          <w:tab w:val="left" w:pos="900"/>
        </w:tabs>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（4）备品备件的情况</w:t>
      </w:r>
    </w:p>
    <w:p>
      <w:pPr>
        <w:tabs>
          <w:tab w:val="left" w:pos="900"/>
        </w:tabs>
        <w:adjustRightInd w:val="0"/>
        <w:snapToGrid w:val="0"/>
        <w:spacing w:line="360" w:lineRule="auto"/>
        <w:ind w:firstLine="420" w:firstLineChars="200"/>
        <w:rPr>
          <w:rFonts w:asciiTheme="minorEastAsia" w:hAnsiTheme="minorEastAsia" w:eastAsiaTheme="minorEastAsia"/>
          <w:kern w:val="0"/>
          <w:lang w:val="zh-CN"/>
        </w:rPr>
      </w:pPr>
      <w:r>
        <w:rPr>
          <w:rFonts w:hint="eastAsia" w:asciiTheme="minorEastAsia" w:hAnsiTheme="minorEastAsia" w:eastAsiaTheme="minorEastAsia"/>
          <w:bCs/>
          <w:szCs w:val="21"/>
        </w:rPr>
        <w:t>（5）项目负责人及其项目小组成员名单：</w:t>
      </w:r>
      <w:r>
        <w:rPr>
          <w:rFonts w:hint="eastAsia" w:asciiTheme="minorEastAsia" w:hAnsiTheme="minorEastAsia" w:eastAsiaTheme="minorEastAsia"/>
          <w:kern w:val="0"/>
          <w:lang w:val="zh-CN"/>
        </w:rPr>
        <w:t>每个专业人员的情况和在杭州人员数应该明确表示，明确各阶段投入人数，在提交的标书中安排的人员，须为公司的固定职员；每个参加项目人员的履历表应随标书一并提交，主要内容包括</w:t>
      </w:r>
      <w:r>
        <w:rPr>
          <w:rFonts w:hint="eastAsia" w:asciiTheme="minorEastAsia" w:hAnsiTheme="minorEastAsia" w:eastAsiaTheme="minorEastAsia"/>
        </w:rPr>
        <w:t>正在履行的劳动合同复印件及</w:t>
      </w:r>
      <w:r>
        <w:rPr>
          <w:rFonts w:asciiTheme="minorEastAsia" w:hAnsiTheme="minorEastAsia" w:eastAsiaTheme="minorEastAsia"/>
        </w:rPr>
        <w:t>基本养老保险缴费记录</w:t>
      </w:r>
      <w:r>
        <w:rPr>
          <w:rFonts w:hint="eastAsia" w:asciiTheme="minorEastAsia" w:hAnsiTheme="minorEastAsia" w:eastAsiaTheme="minorEastAsia"/>
        </w:rPr>
        <w:t>等证明材料、</w:t>
      </w:r>
      <w:r>
        <w:rPr>
          <w:rFonts w:hint="eastAsia" w:asciiTheme="minorEastAsia" w:hAnsiTheme="minorEastAsia" w:eastAsiaTheme="minorEastAsia"/>
          <w:kern w:val="0"/>
          <w:lang w:val="zh-CN"/>
        </w:rPr>
        <w:t>学历情况、经验与业绩(包括从事相关系统建设的经验，该人员参与的时间以及在项目中的责任)，</w:t>
      </w:r>
      <w:r>
        <w:rPr>
          <w:rFonts w:hint="eastAsia" w:cs="仿宋_GB2312" w:asciiTheme="minorEastAsia" w:hAnsiTheme="minorEastAsia" w:eastAsiaTheme="minorEastAsia"/>
          <w:kern w:val="0"/>
          <w:lang w:val="zh-CN"/>
        </w:rPr>
        <w:t>资质情况（包括</w:t>
      </w:r>
      <w:r>
        <w:rPr>
          <w:rFonts w:hint="eastAsia" w:asciiTheme="minorEastAsia" w:hAnsiTheme="minorEastAsia" w:eastAsiaTheme="minorEastAsia"/>
        </w:rPr>
        <w:t>项目组人员的产品认证工程师资质，其他有关资质）</w:t>
      </w:r>
      <w:r>
        <w:rPr>
          <w:rFonts w:hint="eastAsia" w:cs="仿宋_GB2312" w:asciiTheme="minorEastAsia" w:hAnsiTheme="minorEastAsia" w:eastAsiaTheme="minorEastAsia"/>
          <w:kern w:val="0"/>
          <w:lang w:val="zh-CN"/>
        </w:rPr>
        <w:t>等</w:t>
      </w:r>
      <w:r>
        <w:rPr>
          <w:rFonts w:hint="eastAsia" w:asciiTheme="minorEastAsia" w:hAnsiTheme="minorEastAsia" w:eastAsiaTheme="minorEastAsia"/>
          <w:kern w:val="0"/>
          <w:lang w:val="zh-CN"/>
        </w:rPr>
        <w:t>。</w:t>
      </w:r>
    </w:p>
    <w:p>
      <w:pPr>
        <w:tabs>
          <w:tab w:val="left" w:pos="900"/>
        </w:tabs>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kern w:val="0"/>
          <w:lang w:val="zh-CN"/>
        </w:rPr>
        <w:t>（6）</w:t>
      </w:r>
      <w:r>
        <w:rPr>
          <w:rFonts w:hint="eastAsia" w:asciiTheme="minorEastAsia" w:hAnsiTheme="minorEastAsia" w:eastAsiaTheme="minorEastAsia"/>
        </w:rPr>
        <w:t>培训计划</w:t>
      </w:r>
    </w:p>
    <w:p>
      <w:pPr>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（7）验收方案</w:t>
      </w:r>
    </w:p>
    <w:p>
      <w:pPr>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（8）投标人类似成</w:t>
      </w:r>
      <w:r>
        <w:rPr>
          <w:rFonts w:hint="eastAsia" w:asciiTheme="minorEastAsia" w:hAnsiTheme="minorEastAsia" w:eastAsiaTheme="minorEastAsia"/>
          <w:kern w:val="24"/>
          <w:szCs w:val="28"/>
        </w:rPr>
        <w:t>功案例的业绩</w:t>
      </w:r>
      <w:r>
        <w:rPr>
          <w:rFonts w:asciiTheme="minorEastAsia" w:hAnsiTheme="minorEastAsia" w:eastAsiaTheme="minorEastAsia"/>
          <w:kern w:val="24"/>
          <w:szCs w:val="28"/>
        </w:rPr>
        <w:t>；</w:t>
      </w:r>
      <w:r>
        <w:rPr>
          <w:rFonts w:asciiTheme="minorEastAsia" w:hAnsiTheme="minorEastAsia" w:eastAsiaTheme="minorEastAsia"/>
          <w:szCs w:val="28"/>
        </w:rPr>
        <w:t>成功案例需提供合同复印件或采购单位出具的验收报告并加盖公章，原价备查。</w:t>
      </w:r>
    </w:p>
    <w:p>
      <w:pPr>
        <w:snapToGrid w:val="0"/>
        <w:spacing w:line="360" w:lineRule="auto"/>
        <w:ind w:firstLine="420"/>
        <w:rPr>
          <w:rFonts w:asciiTheme="minorEastAsia" w:hAnsiTheme="minorEastAsia" w:eastAsiaTheme="minorEastAsia"/>
          <w:szCs w:val="21"/>
        </w:rPr>
      </w:pPr>
      <w:r>
        <w:rPr>
          <w:rFonts w:hint="eastAsia" w:asciiTheme="minorEastAsia" w:hAnsiTheme="minorEastAsia" w:eastAsiaTheme="minorEastAsia"/>
          <w:szCs w:val="21"/>
        </w:rPr>
        <w:t>（9）</w:t>
      </w:r>
      <w:r>
        <w:rPr>
          <w:rFonts w:asciiTheme="minorEastAsia" w:hAnsiTheme="minorEastAsia" w:eastAsiaTheme="minorEastAsia"/>
          <w:kern w:val="0"/>
          <w:szCs w:val="21"/>
        </w:rPr>
        <w:t>技术偏离说明表。</w:t>
      </w:r>
    </w:p>
    <w:p>
      <w:pPr>
        <w:tabs>
          <w:tab w:val="left" w:pos="1440"/>
          <w:tab w:val="left" w:pos="1620"/>
        </w:tabs>
        <w:adjustRightInd w:val="0"/>
        <w:snapToGrid w:val="0"/>
        <w:spacing w:line="360" w:lineRule="auto"/>
        <w:ind w:right="-357" w:rightChars="-170"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（10）与技术资信标评分有关的其他材料；</w:t>
      </w:r>
    </w:p>
    <w:p>
      <w:pPr>
        <w:tabs>
          <w:tab w:val="left" w:pos="360"/>
          <w:tab w:val="left" w:pos="1260"/>
          <w:tab w:val="left" w:pos="1440"/>
        </w:tabs>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（11）投标人认为需要提供的其它文件及资料。</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9.4 以上内容按照招标文件第六部分附件所附格式填写。没有提供格式的，投标人根据实际情况自行设计并编制。</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10．投标函</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10.1 投标人应完整地填写招标文件中提供的投标函和投标相关附件。</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10.2 投标文件应当对招标文件中有关投标有效期、采购需求等实质性内容作出响应。投标人在满足招标文件实质性要求的基础上，可以提出比招标文件要求更有利于采购人的承诺。</w:t>
      </w:r>
    </w:p>
    <w:p>
      <w:pPr>
        <w:pStyle w:val="20"/>
        <w:snapToGrid w:val="0"/>
        <w:ind w:firstLine="0"/>
        <w:rPr>
          <w:rFonts w:asciiTheme="minorEastAsia" w:hAnsiTheme="minorEastAsia" w:eastAsiaTheme="minorEastAsia"/>
          <w:b/>
          <w:bCs/>
          <w:snapToGrid w:val="0"/>
          <w:kern w:val="0"/>
          <w:sz w:val="21"/>
          <w:szCs w:val="21"/>
        </w:rPr>
      </w:pPr>
      <w:r>
        <w:rPr>
          <w:rFonts w:hint="eastAsia" w:asciiTheme="minorEastAsia" w:hAnsiTheme="minorEastAsia" w:eastAsiaTheme="minorEastAsia"/>
          <w:b/>
          <w:bCs/>
          <w:snapToGrid w:val="0"/>
          <w:kern w:val="0"/>
          <w:sz w:val="21"/>
          <w:szCs w:val="21"/>
        </w:rPr>
        <w:t>11．投标报价</w:t>
      </w:r>
    </w:p>
    <w:p>
      <w:pPr>
        <w:adjustRightInd w:val="0"/>
        <w:snapToGrid w:val="0"/>
        <w:spacing w:line="360" w:lineRule="auto"/>
        <w:ind w:firstLine="435"/>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11.1为方便采购人，投标人应根据不同货物按照投标价格表上标明的内容分别报单价和投标总价。如系进口的关键部件或产品（材料）的投标报价则应包括海关关税、进口增值税、外贸代理费以及与此有关的所有费用。</w:t>
      </w:r>
    </w:p>
    <w:p>
      <w:pPr>
        <w:widowControl/>
        <w:adjustRightInd w:val="0"/>
        <w:snapToGrid w:val="0"/>
        <w:spacing w:line="360" w:lineRule="auto"/>
        <w:ind w:firstLine="567"/>
        <w:jc w:val="left"/>
        <w:rPr>
          <w:rFonts w:asciiTheme="minorEastAsia" w:hAnsiTheme="minorEastAsia" w:eastAsiaTheme="minorEastAsia"/>
          <w:szCs w:val="21"/>
        </w:rPr>
      </w:pPr>
      <w:r>
        <w:rPr>
          <w:rFonts w:hint="eastAsia" w:asciiTheme="minorEastAsia" w:hAnsiTheme="minorEastAsia" w:eastAsiaTheme="minorEastAsia"/>
          <w:b/>
          <w:snapToGrid w:val="0"/>
          <w:kern w:val="0"/>
          <w:szCs w:val="21"/>
        </w:rPr>
        <w:t>11.2本次报价方式为总价包干，</w:t>
      </w:r>
      <w:r>
        <w:rPr>
          <w:rFonts w:hint="eastAsia" w:asciiTheme="minorEastAsia" w:hAnsiTheme="minorEastAsia" w:eastAsiaTheme="minorEastAsia"/>
          <w:szCs w:val="21"/>
        </w:rPr>
        <w:t>包括开发设计、供货、安装、调试、培训、维保等所有费用（含与第三方平台或系统对接的费用，但不含第三方厂商工作量的对接费），即一直到整个系统调试验收合格交付业主使用，不再另行支付其他费用。</w:t>
      </w:r>
      <w:r>
        <w:rPr>
          <w:rFonts w:hint="eastAsia" w:asciiTheme="minorEastAsia" w:hAnsiTheme="minorEastAsia" w:eastAsiaTheme="minorEastAsia"/>
          <w:snapToGrid w:val="0"/>
          <w:kern w:val="0"/>
          <w:szCs w:val="21"/>
        </w:rPr>
        <w:t>如以后已实施而未列入报价的费用将被视为投标人优惠，采购人均不予支付。供安装调试所需辅材一次报入投标总价，除需求变更增减外，以后不作调整。</w:t>
      </w:r>
      <w:r>
        <w:rPr>
          <w:rFonts w:hint="eastAsia" w:asciiTheme="minorEastAsia" w:hAnsiTheme="minorEastAsia" w:eastAsiaTheme="minorEastAsia"/>
          <w:b/>
          <w:szCs w:val="21"/>
        </w:rPr>
        <w:t>若应标产品为进口产品，具有进口免税办理资质的供应商报价为免税的人民币报价，不具有进口免税办理资质的供应商需包含所有进口产品的所有费用。</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11.3采购人要求分类报价是为了方便评标，但在任何情况下不限制采购人以其认为最合适的条款签订合同的权力。</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11.4每种设备和软件只允许有一个报价，有选择的报价将不予接受。本项目只允许一次报价，不允许以开标后调整的报价作为评标的依据（但按本招标文件投标须知投标文件错误的修正并经评标委员会认定或经投标人确认同意的除外）。</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11.5其它需在报价中考虑的因素：</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（1）价格单列的内容，若采购人在合同执行过程中未采用时，采购人可扣回相应费用。</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（2）本项目的采购代理费用须由成交供应商支付给采购代理机构。</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w:t>
      </w:r>
      <w:r>
        <w:rPr>
          <w:rFonts w:hint="eastAsia" w:asciiTheme="minorEastAsia" w:hAnsiTheme="minorEastAsia" w:eastAsiaTheme="minorEastAsia"/>
          <w:b/>
          <w:snapToGrid w:val="0"/>
          <w:kern w:val="0"/>
          <w:szCs w:val="21"/>
        </w:rPr>
        <w:t>对于没有填报的项目，采购人将不再支付，并均认为已包含在报价内。</w:t>
      </w:r>
    </w:p>
    <w:p>
      <w:pPr>
        <w:pStyle w:val="20"/>
        <w:snapToGrid w:val="0"/>
        <w:ind w:firstLine="0"/>
        <w:rPr>
          <w:rFonts w:asciiTheme="minorEastAsia" w:hAnsiTheme="minorEastAsia" w:eastAsiaTheme="minorEastAsia"/>
          <w:b/>
          <w:bCs/>
          <w:snapToGrid w:val="0"/>
          <w:kern w:val="0"/>
          <w:sz w:val="21"/>
          <w:szCs w:val="21"/>
        </w:rPr>
      </w:pPr>
      <w:r>
        <w:rPr>
          <w:rFonts w:hint="eastAsia" w:asciiTheme="minorEastAsia" w:hAnsiTheme="minorEastAsia" w:eastAsiaTheme="minorEastAsia"/>
          <w:b/>
          <w:bCs/>
          <w:snapToGrid w:val="0"/>
          <w:kern w:val="0"/>
          <w:sz w:val="21"/>
          <w:szCs w:val="21"/>
        </w:rPr>
        <w:t>12．投标货币</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投标人用人民币报价。</w:t>
      </w:r>
    </w:p>
    <w:p>
      <w:pPr>
        <w:adjustRightInd w:val="0"/>
        <w:snapToGrid w:val="0"/>
        <w:spacing w:line="360" w:lineRule="auto"/>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13．投标有效期</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13.1 投标文件在开标之日起60日历天内有效。</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13.2 在原定投标有效期满之前，如果出现特殊情况，采购人可以以书面形式向投标人提出延长投标有效期的要求。这种要求与答复均应采用书面形式如传真或信件等。投标人可以拒绝接受采购人的这种要求而放弃投标。接受延长投标有效期的投标人，受投标有限期约束的所有权力和义务均延长至新的有限期。</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13.3 中标人的投标文件自开标之日起至合同履行完毕止均应保持有效。</w:t>
      </w:r>
    </w:p>
    <w:p>
      <w:pPr>
        <w:adjustRightInd w:val="0"/>
        <w:snapToGrid w:val="0"/>
        <w:spacing w:line="360" w:lineRule="auto"/>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14．投标文件的式样和签署</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bookmarkStart w:id="31" w:name="_Toc240450080"/>
      <w:bookmarkStart w:id="32" w:name="_Toc251566653"/>
      <w:r>
        <w:rPr>
          <w:rFonts w:hint="eastAsia" w:asciiTheme="minorEastAsia" w:hAnsiTheme="minorEastAsia" w:eastAsiaTheme="minorEastAsia"/>
          <w:snapToGrid w:val="0"/>
          <w:kern w:val="0"/>
          <w:szCs w:val="21"/>
        </w:rPr>
        <w:t>15.1 投标人应按照本招标文件规定的格式和顺序编制、装订投标文件。投标文件内容不完整、编排混乱导致投标文件被误读、漏读，或者在按招标文件规定装订成册的部分查找不到相关内容的，是投标人的责任。</w:t>
      </w:r>
    </w:p>
    <w:p>
      <w:pPr>
        <w:pStyle w:val="17"/>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snapToGrid w:val="0"/>
          <w:kern w:val="0"/>
          <w:szCs w:val="21"/>
        </w:rPr>
        <w:t>14.2投标人递交的纸质投标文件包括 “</w:t>
      </w:r>
      <w:r>
        <w:rPr>
          <w:rFonts w:hint="eastAsia" w:asciiTheme="minorEastAsia" w:hAnsiTheme="minorEastAsia" w:eastAsiaTheme="minorEastAsia"/>
          <w:b/>
          <w:snapToGrid w:val="0"/>
          <w:kern w:val="0"/>
          <w:szCs w:val="21"/>
        </w:rPr>
        <w:t>资格文件正本1份，副本5份；报价文件正本1份，副本5份；商务技术文件正本1份，副本5份；</w:t>
      </w:r>
      <w:r>
        <w:rPr>
          <w:rFonts w:hint="eastAsia" w:asciiTheme="minorEastAsia" w:hAnsiTheme="minorEastAsia" w:eastAsiaTheme="minorEastAsia"/>
          <w:snapToGrid w:val="0"/>
          <w:kern w:val="0"/>
          <w:szCs w:val="21"/>
        </w:rPr>
        <w:t>电子文档一份（电子文件随纸质报价文件一同密封包装）。正本、副本分开胶装，</w:t>
      </w:r>
      <w:r>
        <w:rPr>
          <w:rFonts w:hint="eastAsia" w:asciiTheme="minorEastAsia" w:hAnsiTheme="minorEastAsia" w:eastAsiaTheme="minorEastAsia"/>
          <w:b/>
          <w:szCs w:val="21"/>
        </w:rPr>
        <w:t>必须采用胶订或线订形式，不得采用活页装订方式（胶订或线订以外装订形式视为活页装订）。</w:t>
      </w:r>
      <w:r>
        <w:rPr>
          <w:rFonts w:hint="eastAsia" w:asciiTheme="minorEastAsia" w:hAnsiTheme="minorEastAsia" w:eastAsiaTheme="minorEastAsia"/>
          <w:snapToGrid w:val="0"/>
          <w:kern w:val="0"/>
          <w:szCs w:val="21"/>
        </w:rPr>
        <w:t>在投标文件封面的右上角须清楚的注明“正本”或“副本”。其中投标文件的正本必须打印或用不褪色墨水书写，字迹须清晰易于辨认。投标文件的正本和副本有不一致的，以正本为准。</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14.3 投标文件的投标函应加盖投标人公章，并经法定代表人或其委托代理人签字。</w:t>
      </w:r>
      <w:r>
        <w:rPr>
          <w:rFonts w:hint="eastAsia" w:asciiTheme="minorEastAsia" w:hAnsiTheme="minorEastAsia" w:eastAsiaTheme="minorEastAsia"/>
          <w:b/>
          <w:snapToGrid w:val="0"/>
          <w:kern w:val="0"/>
          <w:szCs w:val="21"/>
        </w:rPr>
        <w:t>投标文件中有委托代理人签字或盖章的必须同时提供法定代表人资格证明书及授权委托函（书）</w:t>
      </w:r>
      <w:r>
        <w:rPr>
          <w:rFonts w:hint="eastAsia" w:asciiTheme="minorEastAsia" w:hAnsiTheme="minorEastAsia" w:eastAsiaTheme="minorEastAsia"/>
          <w:snapToGrid w:val="0"/>
          <w:kern w:val="0"/>
          <w:szCs w:val="21"/>
        </w:rPr>
        <w:t>。法定代表人资格证明书及授权委托函格式、签字、盖章及内容均应符合要求，否则投标文件无效。投标文件正本中依据招标文件要求加盖投标人公章</w:t>
      </w:r>
      <w:r>
        <w:rPr>
          <w:rFonts w:hint="eastAsia" w:asciiTheme="minorEastAsia" w:hAnsiTheme="minorEastAsia" w:eastAsiaTheme="minorEastAsia"/>
          <w:b/>
          <w:snapToGrid w:val="0"/>
          <w:kern w:val="0"/>
          <w:szCs w:val="21"/>
          <w:u w:val="single"/>
        </w:rPr>
        <w:t>（除此之外的投标专用章、合同章等均视为无效）</w:t>
      </w:r>
      <w:r>
        <w:rPr>
          <w:rFonts w:hint="eastAsia" w:asciiTheme="minorEastAsia" w:hAnsiTheme="minorEastAsia" w:eastAsiaTheme="minorEastAsia"/>
          <w:snapToGrid w:val="0"/>
          <w:kern w:val="0"/>
          <w:szCs w:val="21"/>
        </w:rPr>
        <w:t>、法定代表人或其委托代理人签字或盖章的地方须为原件。副本可复印正本内容。</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14.4 除投标人对错误之处必须修改外，全套投标文件应无涂改或行间插字和增删。修改处须有投标人法定代表人或被授权代表的签字或盖章，否则，评标委员会将不予接受。</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14.5 投标文件每册目录所示页码应该是该册唯一的页码，其唯一的页码应该与目录所示的页码相吻合。投标人应针对评标细则逐条编制响应内容并标注对应页码，否则采购人不承担因为该项错误导致找不到目录所示内容而漏评或因标书编制质量而被扣分的责任。</w:t>
      </w:r>
    </w:p>
    <w:p>
      <w:pPr>
        <w:pStyle w:val="4"/>
        <w:snapToGrid w:val="0"/>
        <w:spacing w:before="0" w:after="0" w:line="360" w:lineRule="auto"/>
        <w:rPr>
          <w:rFonts w:asciiTheme="minorEastAsia" w:hAnsiTheme="minorEastAsia" w:eastAsiaTheme="minorEastAsia"/>
          <w:snapToGrid w:val="0"/>
          <w:kern w:val="0"/>
          <w:sz w:val="21"/>
          <w:szCs w:val="21"/>
        </w:rPr>
      </w:pPr>
      <w:bookmarkStart w:id="33" w:name="_Toc525308255"/>
      <w:bookmarkStart w:id="34" w:name="_Toc23154219"/>
      <w:r>
        <w:rPr>
          <w:rFonts w:hint="eastAsia" w:asciiTheme="minorEastAsia" w:hAnsiTheme="minorEastAsia" w:eastAsiaTheme="minorEastAsia"/>
          <w:snapToGrid w:val="0"/>
          <w:kern w:val="0"/>
          <w:sz w:val="21"/>
          <w:szCs w:val="21"/>
        </w:rPr>
        <w:t>四、投标文件的递交</w:t>
      </w:r>
      <w:bookmarkEnd w:id="31"/>
      <w:bookmarkEnd w:id="32"/>
      <w:bookmarkEnd w:id="33"/>
      <w:bookmarkEnd w:id="34"/>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15．投标文件的密封与标志</w:t>
      </w:r>
    </w:p>
    <w:p>
      <w:pPr>
        <w:adjustRightInd w:val="0"/>
        <w:snapToGrid w:val="0"/>
        <w:spacing w:line="360" w:lineRule="auto"/>
        <w:ind w:firstLine="422" w:firstLineChars="20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15.1  投标人须将资格文件，报价文件，商务、技术文件分别密封包装。不同标项分别独立密封包装。</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15.2密封处加盖投标人公章或密封章。</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密封袋均应注明：</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u w:val="single"/>
        </w:rPr>
      </w:pPr>
      <w:r>
        <w:rPr>
          <w:rFonts w:asciiTheme="minorEastAsia" w:hAnsiTheme="minorEastAsia" w:eastAsiaTheme="minorEastAsia"/>
          <w:snapToGrid w:val="0"/>
          <w:kern w:val="0"/>
          <w:sz w:val="21"/>
          <w:szCs w:val="21"/>
        </w:rPr>
        <w:t>“（1）采购人名称：</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采购人地址：</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u w:val="single"/>
        </w:rPr>
      </w:pPr>
      <w:r>
        <w:rPr>
          <w:rFonts w:asciiTheme="minorEastAsia" w:hAnsiTheme="minorEastAsia" w:eastAsiaTheme="minorEastAsia"/>
          <w:snapToGrid w:val="0"/>
          <w:kern w:val="0"/>
          <w:sz w:val="21"/>
          <w:szCs w:val="21"/>
        </w:rPr>
        <w:t>（2）投标人名称：</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投标人地址：</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（3）项目名称：</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项目编号：</w:t>
      </w:r>
    </w:p>
    <w:p>
      <w:pPr>
        <w:pStyle w:val="22"/>
        <w:spacing w:line="360" w:lineRule="auto"/>
        <w:ind w:left="0" w:rightChars="0" w:firstLine="420" w:firstLineChars="200"/>
        <w:rPr>
          <w:rFonts w:hint="default"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（4）在</w:t>
      </w:r>
      <w:r>
        <w:rPr>
          <w:rFonts w:asciiTheme="minorEastAsia" w:hAnsiTheme="minorEastAsia" w:eastAsiaTheme="minorEastAsia"/>
          <w:snapToGrid w:val="0"/>
          <w:kern w:val="0"/>
          <w:sz w:val="21"/>
          <w:szCs w:val="21"/>
          <w:u w:val="single"/>
        </w:rPr>
        <w:t>2019年  月  日  时   分</w:t>
      </w:r>
      <w:r>
        <w:rPr>
          <w:rFonts w:asciiTheme="minorEastAsia" w:hAnsiTheme="minorEastAsia" w:eastAsiaTheme="minorEastAsia"/>
          <w:snapToGrid w:val="0"/>
          <w:kern w:val="0"/>
          <w:sz w:val="21"/>
          <w:szCs w:val="21"/>
        </w:rPr>
        <w:t>之前不得启封”</w:t>
      </w:r>
    </w:p>
    <w:p>
      <w:pPr>
        <w:pStyle w:val="22"/>
        <w:spacing w:line="360" w:lineRule="auto"/>
        <w:ind w:left="0" w:rightChars="0"/>
        <w:rPr>
          <w:rFonts w:hint="default"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的字样，并根据本须知前附表的规定填入开标日期和时间。</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在包封外层上还应写明投标人名称与地址、邮政编码。</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15.3 如果包封没有按上述规定密封并加写标志，采购人对误投或过早启封概不负责。对由此造成的提前开封的投标文件，采购人将予以拒绝，并退还给投标人。</w:t>
      </w:r>
    </w:p>
    <w:p>
      <w:pPr>
        <w:adjustRightInd w:val="0"/>
        <w:snapToGrid w:val="0"/>
        <w:spacing w:line="360" w:lineRule="auto"/>
        <w:rPr>
          <w:rFonts w:asciiTheme="minorEastAsia" w:hAnsiTheme="minorEastAsia" w:eastAsiaTheme="minorEastAsia"/>
          <w:b/>
          <w:snapToGrid w:val="0"/>
          <w:kern w:val="0"/>
          <w:szCs w:val="21"/>
        </w:rPr>
      </w:pPr>
      <w:bookmarkStart w:id="35" w:name="_Toc240450081"/>
      <w:bookmarkStart w:id="36" w:name="_Toc251566654"/>
      <w:r>
        <w:rPr>
          <w:rFonts w:hint="eastAsia" w:asciiTheme="minorEastAsia" w:hAnsiTheme="minorEastAsia" w:eastAsiaTheme="minorEastAsia"/>
          <w:b/>
          <w:snapToGrid w:val="0"/>
          <w:kern w:val="0"/>
          <w:szCs w:val="21"/>
        </w:rPr>
        <w:t>16．投标截止期</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16.1 投标人应按前附表规定的日期、时间和地点递交投标文件。</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16.2 采购人收到投标文件的时间不得迟于投标人须知前附表中规定的截止时间。</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16.3 采购人可以按本须知第7条规定，通过修改招标文件适当延长投标截止日期。在此情况下，采购人与投标人受投标截止期制约的所有权利和义务均应延长至新的截止期。</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17．迟交的投标文件</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采购人将拒绝并原封退回在本须知第17条规定的截止期后收到的任何投标文件。</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18．投标文件的修改与撤回</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18.1 投标人在递交投标文件后，可以在规定的投标截止时间前，以书面的形式通知采购人，修改或撤回其投标文件。</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18.2 投标人的修改或撤回通知，应按本须知第15条规定编制、密封、标志和递交（在外层包封上标明“修改”或“撤回”字样）。修改文件同样必须在投标截止时间前送达采购人。</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18.3 在投标截止期之后，投标人不得对其投标作任何修改。</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18.4 从投标截止期至投标人在投标函格式中确定的投标有效期期满这段时间内，投标人不得撤回其投标。</w:t>
      </w:r>
    </w:p>
    <w:p>
      <w:pPr>
        <w:pStyle w:val="4"/>
        <w:snapToGrid w:val="0"/>
        <w:spacing w:before="0" w:after="0" w:line="360" w:lineRule="auto"/>
        <w:rPr>
          <w:rFonts w:asciiTheme="minorEastAsia" w:hAnsiTheme="minorEastAsia" w:eastAsiaTheme="minorEastAsia"/>
          <w:snapToGrid w:val="0"/>
          <w:kern w:val="0"/>
          <w:sz w:val="21"/>
          <w:szCs w:val="21"/>
        </w:rPr>
      </w:pPr>
      <w:bookmarkStart w:id="37" w:name="_Toc525308256"/>
      <w:bookmarkStart w:id="38" w:name="_Toc23154220"/>
      <w:r>
        <w:rPr>
          <w:rFonts w:hint="eastAsia" w:asciiTheme="minorEastAsia" w:hAnsiTheme="minorEastAsia" w:eastAsiaTheme="minorEastAsia"/>
          <w:snapToGrid w:val="0"/>
          <w:kern w:val="0"/>
          <w:sz w:val="21"/>
          <w:szCs w:val="21"/>
        </w:rPr>
        <w:t>五、开标与评标</w:t>
      </w:r>
      <w:bookmarkEnd w:id="35"/>
      <w:bookmarkEnd w:id="36"/>
      <w:bookmarkEnd w:id="37"/>
      <w:bookmarkEnd w:id="38"/>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19．开标</w:t>
      </w:r>
    </w:p>
    <w:p>
      <w:pPr>
        <w:pStyle w:val="204"/>
        <w:spacing w:before="0" w:line="360" w:lineRule="auto"/>
        <w:ind w:left="0" w:firstLine="420" w:firstLineChars="200"/>
        <w:rPr>
          <w:rFonts w:cs="Arial" w:asciiTheme="minorEastAsia" w:hAnsiTheme="minorEastAsia" w:eastAsiaTheme="minorEastAsia"/>
          <w:snapToGrid w:val="0"/>
          <w:sz w:val="21"/>
          <w:szCs w:val="21"/>
        </w:rPr>
      </w:pPr>
      <w:r>
        <w:rPr>
          <w:rFonts w:hint="eastAsia" w:cs="Arial" w:asciiTheme="minorEastAsia" w:hAnsiTheme="minorEastAsia" w:eastAsiaTheme="minorEastAsia"/>
          <w:snapToGrid w:val="0"/>
          <w:sz w:val="21"/>
          <w:szCs w:val="21"/>
        </w:rPr>
        <w:t>19.1 采购机构将按照采购公告规定的时间、地点组织开标，开标采取先拆封资格文件，后拆封商务技术文件，商务技术评审后拆封报价文件的顺序进行。具体按以下程序进行。</w:t>
      </w:r>
    </w:p>
    <w:p>
      <w:pPr>
        <w:pStyle w:val="204"/>
        <w:spacing w:before="0" w:line="360" w:lineRule="auto"/>
        <w:ind w:left="0" w:firstLine="420" w:firstLineChars="200"/>
        <w:rPr>
          <w:rFonts w:cs="Arial" w:asciiTheme="minorEastAsia" w:hAnsiTheme="minorEastAsia" w:eastAsiaTheme="minorEastAsia"/>
          <w:snapToGrid w:val="0"/>
          <w:sz w:val="21"/>
          <w:szCs w:val="21"/>
        </w:rPr>
      </w:pPr>
      <w:r>
        <w:rPr>
          <w:rFonts w:hint="eastAsia" w:cs="Arial" w:asciiTheme="minorEastAsia" w:hAnsiTheme="minorEastAsia" w:eastAsiaTheme="minorEastAsia"/>
          <w:snapToGrid w:val="0"/>
          <w:sz w:val="21"/>
          <w:szCs w:val="21"/>
        </w:rPr>
        <w:t>19.1.1 采购机构将核验出席开标活动现场的各投标人法定代表人或其授权代表及相关单位人员身份，并组织其分别登记、签到，无关人员不得进入现场。</w:t>
      </w:r>
      <w:r>
        <w:rPr>
          <w:rFonts w:hint="eastAsia" w:cs="Arial" w:asciiTheme="minorEastAsia" w:hAnsiTheme="minorEastAsia" w:eastAsiaTheme="minorEastAsia"/>
          <w:b/>
          <w:snapToGrid w:val="0"/>
          <w:sz w:val="21"/>
          <w:szCs w:val="21"/>
        </w:rPr>
        <w:t>各投标人法定代表人或其授权代表应准时参加，携带本人有效证件原件，投标文件中按要求提供法定代表人授权书。</w:t>
      </w:r>
      <w:r>
        <w:rPr>
          <w:rFonts w:hint="eastAsia" w:cs="Arial" w:asciiTheme="minorEastAsia" w:hAnsiTheme="minorEastAsia" w:eastAsiaTheme="minorEastAsia"/>
          <w:snapToGrid w:val="0"/>
          <w:sz w:val="21"/>
          <w:szCs w:val="21"/>
        </w:rPr>
        <w:t>投标人如不派代表参加开标大会的，事后不得对采购相关人员、开标过程和开标结果提出异议。</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19.1.2采购机构接收投标文件并登记，各投标人法定代表人或其授权代表对投标文件的递交记录情况进行签字确认。</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19.1.3采购机构将通过“信用中国”网站(www.creditchina.gov.cn)、中国政府采购网(www.ccgp.gov.cn)渠道查询投标人投标截止时间前的信用记录。经查询投标人列入失信被执行人名单、重大税收违法案件当事人名单、政府采购严重违法失信行为记录名单的，其投标文件将被当场拒绝。</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19.1.4采购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19.1.5开标时，按投标人提交投标文件的登记顺序当众拆封、清点投标文件（包括正本、副本）数量，审查资格文件，将密封的报价文件集中等候拆封，将拆封后的商务技术文件由采购机构送至评审地点，各投标人法定代表人或其授权代表等候采购机构拆封报价文件。</w:t>
      </w:r>
    </w:p>
    <w:p>
      <w:pPr>
        <w:pStyle w:val="131"/>
        <w:spacing w:before="0"/>
        <w:ind w:firstLine="420"/>
        <w:rPr>
          <w:rFonts w:asciiTheme="minorEastAsia" w:hAnsiTheme="minorEastAsia" w:eastAsiaTheme="minorEastAsia"/>
          <w:b/>
          <w:snapToGrid w:val="0"/>
          <w:kern w:val="0"/>
          <w:sz w:val="21"/>
          <w:szCs w:val="21"/>
        </w:rPr>
      </w:pPr>
      <w:r>
        <w:rPr>
          <w:rFonts w:hint="eastAsia" w:asciiTheme="minorEastAsia" w:hAnsiTheme="minorEastAsia" w:eastAsiaTheme="minorEastAsia"/>
          <w:snapToGrid w:val="0"/>
          <w:kern w:val="0"/>
          <w:sz w:val="21"/>
          <w:szCs w:val="21"/>
        </w:rPr>
        <w:t>对不符合装订要求的投标文件，由采购机构当场退还投标人法定代表人或其授权代表。</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19.1.6商务技术评审结束后，采购机构宣布商务技术评审无效投标人名单及理由，无效投标人可收回未拆封的报价文件并签字确认；公布经商务技术评审符合采购需求的投标人名单及其商务技术得分之和。</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19.1.7采购机构拆封投标人报价文件，宣读《投标（开标）一览表》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实。</w:t>
      </w:r>
    </w:p>
    <w:p>
      <w:pPr>
        <w:pStyle w:val="131"/>
        <w:spacing w:before="0"/>
        <w:ind w:firstLine="420"/>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19.1.8评审结束后，采购机构公布中标候选人名单，及采购人最终确定中标人名单的时间和公告方式等。</w:t>
      </w:r>
    </w:p>
    <w:p>
      <w:pPr>
        <w:pStyle w:val="131"/>
        <w:spacing w:before="0"/>
        <w:ind w:firstLine="0" w:firstLineChars="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20.资格审查</w:t>
      </w:r>
    </w:p>
    <w:p>
      <w:pPr>
        <w:pStyle w:val="131"/>
        <w:spacing w:before="0"/>
        <w:ind w:firstLine="210" w:firstLineChars="100"/>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20.1开标后，采购代理机构将依法对投标人的资格进行审查。</w:t>
      </w:r>
    </w:p>
    <w:p>
      <w:pPr>
        <w:snapToGrid w:val="0"/>
        <w:spacing w:line="360" w:lineRule="auto"/>
        <w:ind w:firstLine="210" w:firstLineChars="100"/>
        <w:rPr>
          <w:rFonts w:cs="仿宋_GB2312" w:asciiTheme="minorEastAsia" w:hAnsiTheme="minorEastAsia" w:eastAsiaTheme="minorEastAsia"/>
          <w:szCs w:val="21"/>
        </w:rPr>
      </w:pPr>
      <w:r>
        <w:rPr>
          <w:rFonts w:hint="eastAsia" w:asciiTheme="minorEastAsia" w:hAnsiTheme="minorEastAsia" w:eastAsiaTheme="minorEastAsia"/>
          <w:kern w:val="0"/>
          <w:szCs w:val="21"/>
        </w:rPr>
        <w:t>20.2</w:t>
      </w:r>
      <w:r>
        <w:rPr>
          <w:rFonts w:hint="eastAsia" w:cs="仿宋_GB2312" w:asciiTheme="minorEastAsia" w:hAnsiTheme="minorEastAsia" w:eastAsiaTheme="minorEastAsia"/>
          <w:szCs w:val="21"/>
        </w:rPr>
        <w:t>采购代理机构依据法律法规和招标文件的规定，对投标人的基本资格条件、特定资格条件进行审查。</w:t>
      </w:r>
    </w:p>
    <w:p>
      <w:pPr>
        <w:adjustRightInd w:val="0"/>
        <w:spacing w:after="100" w:afterAutospacing="1" w:line="360" w:lineRule="auto"/>
        <w:ind w:firstLine="210" w:firstLineChars="100"/>
        <w:rPr>
          <w:rFonts w:asciiTheme="minorEastAsia" w:hAnsiTheme="minorEastAsia" w:eastAsiaTheme="minorEastAsia"/>
          <w:szCs w:val="21"/>
        </w:rPr>
      </w:pPr>
      <w:r>
        <w:rPr>
          <w:rFonts w:hint="eastAsia" w:asciiTheme="minorEastAsia" w:hAnsiTheme="minorEastAsia" w:eastAsiaTheme="minorEastAsia"/>
          <w:kern w:val="0"/>
          <w:szCs w:val="21"/>
        </w:rPr>
        <w:t>20.3投标人未按照招标文件要求提供与</w:t>
      </w:r>
      <w:r>
        <w:rPr>
          <w:rFonts w:hint="eastAsia" w:cs="仿宋_GB2312" w:asciiTheme="minorEastAsia" w:hAnsiTheme="minorEastAsia" w:eastAsiaTheme="minorEastAsia"/>
          <w:szCs w:val="21"/>
        </w:rPr>
        <w:t>基本资格条件、特定资格条件相应的</w:t>
      </w:r>
      <w:r>
        <w:rPr>
          <w:rFonts w:hint="eastAsia" w:asciiTheme="minorEastAsia" w:hAnsiTheme="minorEastAsia" w:eastAsiaTheme="minorEastAsia"/>
          <w:kern w:val="0"/>
          <w:szCs w:val="21"/>
        </w:rPr>
        <w:t>有效资格证明材料的，视为</w:t>
      </w:r>
      <w:r>
        <w:rPr>
          <w:rFonts w:hint="eastAsia" w:cs="仿宋_GB2312" w:asciiTheme="minorEastAsia" w:hAnsiTheme="minorEastAsia" w:eastAsiaTheme="minorEastAsia"/>
          <w:szCs w:val="21"/>
        </w:rPr>
        <w:t>投标人不具备招标文件中规定的资格要求，其投标无效。</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21．评标</w:t>
      </w:r>
    </w:p>
    <w:p>
      <w:pPr>
        <w:adjustRightInd w:val="0"/>
        <w:snapToGrid w:val="0"/>
        <w:spacing w:line="360" w:lineRule="auto"/>
        <w:ind w:firstLine="422" w:firstLineChars="200"/>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21.1 评标组织</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工作由招标采购单位负责组织，依法组建由5人（含）及以上奇数人员组成的评标委员会，负责对投标文件进行审查、质询、评审等。评标委员会由政府采购相关专家等组成，其中政府采购专家不得少于成员总数的三分之二。</w:t>
      </w:r>
    </w:p>
    <w:p>
      <w:pPr>
        <w:adjustRightInd w:val="0"/>
        <w:snapToGrid w:val="0"/>
        <w:spacing w:line="360" w:lineRule="auto"/>
        <w:ind w:firstLine="422" w:firstLineChars="200"/>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21.2评标纪律</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本次评标工作将在严格保密的情况下进行，评标委员会成员名单在定标前将保密。</w:t>
      </w:r>
    </w:p>
    <w:p>
      <w:pPr>
        <w:adjustRightInd w:val="0"/>
        <w:snapToGrid w:val="0"/>
        <w:spacing w:line="360" w:lineRule="auto"/>
        <w:ind w:firstLine="422" w:firstLineChars="200"/>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21.3评标程序</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1、在评标专家中推选评标委员会组长，优先推选资深专家为组长；</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评标委员会组长召集成员认真阅读招标文件以及相关补充、质疑、答复文件、项目书面说明等材料，熟悉招标项目的基本概况、质量要求、数量、主要技术标准或服务需求，合同主要条款，投标文件无效情形，评标方法、评标依据、评标标准等；</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3、资格审查，经其书面授权的招标人代表或经其书面授权的招标代理机构代表采购代理机构按照招标文件要求对投标人逐一进行资格审查；</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4、商务、技术文件的符合性审查，评标人员对通过资格审查的各投标文件商务、技术部分的有效性、完整性和响应程度等进行审查，确定是否对招标文件作出实质性响应；</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5、商务、技术评分，评标人员按招标文件规定的评标方法和评标标准，依法独立对投标文件商务、技术部分进行评估、比较，并给予评价或打分，不受任何单位和个人的干预；</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6、评标人员对各投标文件非实质性内容有疑议或异议，或者审查发现明显的文字或计算错误等，及时向评标委员会组长提出。经评标委员会商议认为需要投标人作出必要澄清或说明的，应通知该投标人代表以书面形式作出澄清或说明；</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7、评标人员对商务、技术部分评审结果进行确认，现场监督员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8、报价文件的符合性审查，对开启的投标文件报价部分的进行有效性、完整性和响应程度等进行审查，确定是否对招标文件作出实质性响应；</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9、价格评分，评标人员按招标文件规定的评标方法和评标标准，对有效的投标文件的报价部分进行小微企业（监狱企业）等政策功能的评标价格调整并打分；</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w:t>
      </w:r>
      <w:r>
        <w:rPr>
          <w:rFonts w:asciiTheme="minorEastAsia" w:hAnsiTheme="minorEastAsia" w:eastAsiaTheme="minorEastAsia"/>
          <w:snapToGrid w:val="0"/>
          <w:kern w:val="0"/>
          <w:szCs w:val="21"/>
        </w:rPr>
        <w:t>0</w:t>
      </w:r>
      <w:r>
        <w:rPr>
          <w:rFonts w:hint="eastAsia" w:asciiTheme="minorEastAsia" w:hAnsiTheme="minorEastAsia" w:eastAsiaTheme="minorEastAsia"/>
          <w:snapToGrid w:val="0"/>
          <w:kern w:val="0"/>
          <w:szCs w:val="21"/>
        </w:rPr>
        <w:t>、评标人员对报价部分评审结果进行确认；</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w:t>
      </w:r>
      <w:r>
        <w:rPr>
          <w:rFonts w:asciiTheme="minorEastAsia" w:hAnsiTheme="minorEastAsia" w:eastAsiaTheme="minorEastAsia"/>
          <w:snapToGrid w:val="0"/>
          <w:kern w:val="0"/>
          <w:szCs w:val="21"/>
        </w:rPr>
        <w:t>1</w:t>
      </w:r>
      <w:r>
        <w:rPr>
          <w:rFonts w:hint="eastAsia" w:asciiTheme="minorEastAsia" w:hAnsiTheme="minorEastAsia" w:eastAsiaTheme="minorEastAsia"/>
          <w:snapToGrid w:val="0"/>
          <w:kern w:val="0"/>
          <w:szCs w:val="21"/>
        </w:rPr>
        <w:t>、评标委员会根据评审汇总情况和招标文件规定确定中标（成交）候选供应商排序名单；</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w:t>
      </w:r>
      <w:r>
        <w:rPr>
          <w:rFonts w:asciiTheme="minorEastAsia" w:hAnsiTheme="minorEastAsia" w:eastAsiaTheme="minorEastAsia"/>
          <w:snapToGrid w:val="0"/>
          <w:kern w:val="0"/>
          <w:szCs w:val="21"/>
        </w:rPr>
        <w:t>2</w:t>
      </w:r>
      <w:r>
        <w:rPr>
          <w:rFonts w:hint="eastAsia" w:asciiTheme="minorEastAsia" w:hAnsiTheme="minorEastAsia" w:eastAsiaTheme="minorEastAsia"/>
          <w:snapToGrid w:val="0"/>
          <w:kern w:val="0"/>
          <w:szCs w:val="21"/>
        </w:rPr>
        <w:t>、起草评审报告，所有评审人员须在评审报告上签字确认。</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22.澄清有关问题和错误修正。</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期间，为有助于对投标文件的审查、评价和比较，评委会有权要求投标人对其投标文件进行澄清，但并非对每个投标人都做澄清要求。接到评委会澄清要求的投标人应派人安评委会通知的时间和地点作出书面澄清，书面澄清的内容必须由投标人法定代表人或授权代表签署，并作为投标文件的补充部分，但投标价格和实质性的内容不得做任何更改。</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接到评委会或评标委员会授权的评标工作人员的澄清要求或通知的电话后,请在20分钟之内赶到通知的指定地点接受澄清,如未能在30分钟之内达到指定地点的，视同该投标人自动放弃对投标文件的澄清,评标委员会对此所作的评标结果,其风险由投标人自行承担。</w:t>
      </w:r>
    </w:p>
    <w:p>
      <w:pPr>
        <w:spacing w:line="360" w:lineRule="auto"/>
        <w:ind w:firstLine="36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(1)投标文件中开标一览表(报价表)内容与投标文件中相应内容不一致的，以开标一览表(报价表)为准;</w:t>
      </w:r>
    </w:p>
    <w:p>
      <w:pPr>
        <w:spacing w:line="360" w:lineRule="auto"/>
        <w:ind w:firstLine="36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(2)大写金额和小写金额不一致的，以大写金额为准;</w:t>
      </w:r>
    </w:p>
    <w:p>
      <w:pPr>
        <w:spacing w:line="360" w:lineRule="auto"/>
        <w:ind w:firstLine="36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(3)单价金额小数点或者百分比有明显错位的，以开标一览表的总价为准，并修改单价;</w:t>
      </w:r>
    </w:p>
    <w:p>
      <w:pPr>
        <w:spacing w:line="360" w:lineRule="auto"/>
        <w:ind w:firstLine="36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(4)总价金额与按单价汇总金额不一致的，以单价金额计算结果为准。</w:t>
      </w:r>
    </w:p>
    <w:p>
      <w:pPr>
        <w:spacing w:line="360" w:lineRule="auto"/>
        <w:ind w:firstLine="36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23．无效投标的认定</w:t>
      </w:r>
    </w:p>
    <w:p>
      <w:pPr>
        <w:pStyle w:val="131"/>
        <w:spacing w:before="0"/>
        <w:ind w:firstLine="210" w:firstLineChars="100"/>
        <w:rPr>
          <w:rFonts w:asciiTheme="minorEastAsia" w:hAnsiTheme="minorEastAsia" w:eastAsiaTheme="minorEastAsia"/>
          <w:snapToGrid w:val="0"/>
          <w:kern w:val="0"/>
          <w:sz w:val="21"/>
          <w:szCs w:val="21"/>
        </w:rPr>
      </w:pPr>
      <w:r>
        <w:rPr>
          <w:rFonts w:asciiTheme="minorEastAsia" w:hAnsiTheme="minorEastAsia" w:eastAsiaTheme="minorEastAsia"/>
          <w:snapToGrid w:val="0"/>
          <w:kern w:val="0"/>
          <w:sz w:val="21"/>
          <w:szCs w:val="21"/>
        </w:rPr>
        <w:t>采购人</w:t>
      </w:r>
      <w:r>
        <w:rPr>
          <w:rFonts w:hint="eastAsia" w:asciiTheme="minorEastAsia" w:hAnsiTheme="minorEastAsia" w:eastAsiaTheme="minorEastAsia"/>
          <w:snapToGrid w:val="0"/>
          <w:kern w:val="0"/>
          <w:sz w:val="21"/>
          <w:szCs w:val="21"/>
        </w:rPr>
        <w:t>或采购代理机构依法对投标人的资格进行审查。评标委员依照招标文件的要求和规定对投标人的投标文件进行符合性审查。在审查过程中可以要求投标人提交下列审查项所需的有关证明和证件的原件，以便核验。评标委员会按少数服从多数原则认定投标文件存在以下情况之一的，其资格或符合性审查不予通过，作无效标处理，不再进行进一步评审：</w:t>
      </w:r>
    </w:p>
    <w:p>
      <w:pPr>
        <w:pStyle w:val="25"/>
        <w:adjustRightInd w:val="0"/>
        <w:snapToGrid w:val="0"/>
        <w:spacing w:line="360" w:lineRule="auto"/>
        <w:ind w:firstLine="420" w:firstLineChars="200"/>
        <w:jc w:val="left"/>
        <w:rPr>
          <w:rFonts w:asciiTheme="minorEastAsia" w:hAnsiTheme="minorEastAsia" w:eastAsiaTheme="minorEastAsia"/>
          <w:u w:val="single"/>
        </w:rPr>
      </w:pPr>
      <w:r>
        <w:rPr>
          <w:rFonts w:hint="eastAsia" w:cs="宋体" w:asciiTheme="minorEastAsia" w:hAnsiTheme="minorEastAsia" w:eastAsiaTheme="minorEastAsia"/>
          <w:u w:val="single"/>
        </w:rPr>
        <w:t>（</w:t>
      </w:r>
      <w:r>
        <w:rPr>
          <w:rFonts w:hint="eastAsia" w:asciiTheme="minorEastAsia" w:hAnsiTheme="minorEastAsia" w:eastAsiaTheme="minorEastAsia"/>
          <w:u w:val="single"/>
        </w:rPr>
        <w:t>1</w:t>
      </w:r>
      <w:r>
        <w:rPr>
          <w:rFonts w:hint="eastAsia" w:cs="宋体" w:asciiTheme="minorEastAsia" w:hAnsiTheme="minorEastAsia" w:eastAsiaTheme="minorEastAsia"/>
          <w:u w:val="single"/>
        </w:rPr>
        <w:t>）资格审查时出现：</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1）投标人未能提供满足招标文件的资格要求的投标文件；</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2）被有关行政监管部门通报限制投标且在限制期内的；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3）不符合资格审查条件的其他情形。</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（2）商务、技术文件的符合性审查时出现：</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1）投标文件份数不足或未按招标文件要求装订、密封、盖章、签署（仅限需由法定代表人或其授权代表签字的材料未由法定代表人或其授权代表签字或盖章的）的；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2）与招标文件有重大偏离（包括未响应或负偏离或不符合带有“</w:t>
      </w:r>
      <w:r>
        <w:rPr>
          <w:rFonts w:hint="eastAsia" w:asciiTheme="minorEastAsia" w:hAnsiTheme="minorEastAsia" w:eastAsiaTheme="minorEastAsia"/>
          <w:sz w:val="20"/>
          <w:szCs w:val="20"/>
        </w:rPr>
        <w:t>▲</w:t>
      </w:r>
      <w:r>
        <w:rPr>
          <w:rFonts w:hint="eastAsia" w:asciiTheme="minorEastAsia" w:hAnsiTheme="minorEastAsia" w:eastAsiaTheme="minorEastAsia"/>
          <w:szCs w:val="21"/>
        </w:rPr>
        <w:t>”标记的条款的）或缺漏的投标文件；</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3）未提供或未如实提供投标货物的技术参数；投标文件标明的商务、技术响应或偏离与事实不符或虚假投标的；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4）未允许进口产品投标，部分或全部使用进口产品投标的；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5）技术方案不明确，存在一个或一个以上备选（替代）方案且未申明哪个有效的；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6）未提供有效投标声明函及投标代表人身份证明的投标文件；</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7）投标文件有招标方不能接受的附加条件的；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8）不符合法律、法规和本招标文件规定的其他实质性要求的。</w:t>
      </w:r>
    </w:p>
    <w:p>
      <w:pPr>
        <w:adjustRightInd w:val="0"/>
        <w:snapToGrid w:val="0"/>
        <w:spacing w:line="360" w:lineRule="auto"/>
        <w:ind w:firstLine="420" w:firstLineChars="200"/>
        <w:rPr>
          <w:rFonts w:asciiTheme="minorEastAsia" w:hAnsiTheme="minorEastAsia" w:eastAsiaTheme="minorEastAsia"/>
          <w:szCs w:val="21"/>
          <w:u w:val="single"/>
        </w:rPr>
      </w:pPr>
      <w:r>
        <w:rPr>
          <w:rFonts w:hint="eastAsia" w:asciiTheme="minorEastAsia" w:hAnsiTheme="minorEastAsia" w:eastAsiaTheme="minorEastAsia"/>
          <w:szCs w:val="21"/>
          <w:u w:val="single"/>
        </w:rPr>
        <w:t>（3）报价文件的符合性审查时出现：</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1）投标文件份数不足或未按招标文件要求装订、密封、盖章、签署（仅限需由法定代表人或其授权代表签字的材料未由法定代表人或其授权代表签字或盖章的）的；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2）与招标文件有重大偏离（包括未响应或负偏离或不符合带有“</w:t>
      </w:r>
      <w:r>
        <w:rPr>
          <w:rFonts w:hint="eastAsia" w:asciiTheme="minorEastAsia" w:hAnsiTheme="minorEastAsia" w:eastAsiaTheme="minorEastAsia"/>
          <w:sz w:val="20"/>
          <w:szCs w:val="20"/>
        </w:rPr>
        <w:t>▲</w:t>
      </w:r>
      <w:r>
        <w:rPr>
          <w:rFonts w:hint="eastAsia" w:asciiTheme="minorEastAsia" w:hAnsiTheme="minorEastAsia" w:eastAsiaTheme="minorEastAsia"/>
          <w:szCs w:val="21"/>
        </w:rPr>
        <w:t>”标记的条款的）或缺漏的投标文件；</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）投标报价不明确，存在一个或一个以上备选（替代）报价且未申明哪个有效的；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4）投标报价超预算的(含分项预算)；</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5）未采用人民币报价或未按招标文件标明的币种报价；</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6）未提供有效开标一览表的投标文件；</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7）未允许进口产品投标，部分或全部使用进口产品投标的；</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8）投标报价明显低于成本价的，投标人又不能在规定时间内作出合理说明或提供相关证明材料；</w:t>
      </w:r>
    </w:p>
    <w:p>
      <w:pPr>
        <w:adjustRightInd w:val="0"/>
        <w:snapToGri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9）投标文件有招标方不能接受的附加条件的；</w:t>
      </w:r>
    </w:p>
    <w:p>
      <w:pPr>
        <w:adjustRightInd w:val="0"/>
        <w:snapToGrid w:val="0"/>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）不符合法律、法规和本招标文件规定的其他实质性要求的。</w:t>
      </w:r>
    </w:p>
    <w:p>
      <w:pPr>
        <w:adjustRightInd w:val="0"/>
        <w:snapToGrid w:val="0"/>
        <w:spacing w:line="360" w:lineRule="auto"/>
        <w:ind w:firstLine="207" w:firstLineChars="98"/>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24．废标</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bookmarkStart w:id="39" w:name="_Toc251566655"/>
      <w:bookmarkStart w:id="40" w:name="_Toc240450082"/>
      <w:r>
        <w:rPr>
          <w:rFonts w:hint="eastAsia" w:asciiTheme="minorEastAsia" w:hAnsiTheme="minorEastAsia" w:eastAsiaTheme="minorEastAsia"/>
          <w:snapToGrid w:val="0"/>
          <w:kern w:val="0"/>
          <w:szCs w:val="21"/>
        </w:rPr>
        <w:t>24.1出现下列情形之一的，应予以废标：</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（1）符合专业条件的供应商或者对招标文件作实质响应的供应商不足三家的。</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（2）出现影响采购公正的违法、违规行为的； </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（3）投标人的报价均超过了采购预算，采购人不能支付的； </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（4）因重大变故，采购任务取消的。</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24.2 废标后，采购人应当重新组织招标；或者经主管部门批准，采取其他方式组织采购。</w:t>
      </w:r>
    </w:p>
    <w:p>
      <w:pPr>
        <w:pStyle w:val="4"/>
        <w:snapToGrid w:val="0"/>
        <w:spacing w:before="0" w:after="0" w:line="360" w:lineRule="auto"/>
        <w:rPr>
          <w:rFonts w:asciiTheme="minorEastAsia" w:hAnsiTheme="minorEastAsia" w:eastAsiaTheme="minorEastAsia"/>
          <w:snapToGrid w:val="0"/>
          <w:kern w:val="0"/>
          <w:sz w:val="21"/>
          <w:szCs w:val="21"/>
        </w:rPr>
      </w:pPr>
      <w:bookmarkStart w:id="41" w:name="_Toc525308257"/>
      <w:bookmarkStart w:id="42" w:name="_Toc23154221"/>
      <w:bookmarkStart w:id="43" w:name="_Toc294777236"/>
      <w:r>
        <w:rPr>
          <w:rFonts w:hint="eastAsia" w:asciiTheme="minorEastAsia" w:hAnsiTheme="minorEastAsia" w:eastAsiaTheme="minorEastAsia"/>
          <w:snapToGrid w:val="0"/>
          <w:kern w:val="0"/>
          <w:sz w:val="21"/>
          <w:szCs w:val="21"/>
        </w:rPr>
        <w:t>六、确定中标人及授予合同</w:t>
      </w:r>
      <w:bookmarkEnd w:id="39"/>
      <w:bookmarkEnd w:id="40"/>
      <w:bookmarkEnd w:id="41"/>
      <w:bookmarkEnd w:id="42"/>
      <w:bookmarkEnd w:id="43"/>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25．中标人的确定</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25.1 采购人按照评标报告中推荐的中标候选人顺序确定中标人。</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25.2 中标人确定后，中标结果将在发布招标公告的同一媒体上公告。</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25.3 投标人对中标公告有异议的，可以以书面形式向采购人提出质疑，但需对质疑内容的真实性承担责任。对质疑答复不满的，可以在答复期满后十五个工作日内向同级政府采购监督管理部门投诉。</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26．合同授予</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26.1 本项目的合同将授予按本须知第24.1款所确定的中标人。</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26.2 中标人因不可抗力或者自身原因不能履行合同的，采购人可以与排位在中标人之后的第一位的中标候选人签订合同，以此类推。推荐中标候选人均放弃中标的，依法重新组织招标或经批准按其他方式执行。</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27．签订合同</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27.1 中标人应按中标通知书规定的时间与采购人签订合同，并提交质量保证金。中标人在领取中标通知书时须向采购人提供一份关于本项目在实施过程中的相关人员的通讯录作为合同附件。</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27.2 中标人如不遵守招标文件或投标文件各项条款的邀约与要约，或在接到中标通知书后借故拖延，拒签合同的，采购人将依据国家和招标文件有关规定处罚。但执行国家政策或不可抗力原因不在此列。</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27.3 招标文件、中标人的投标文件及投标修改文件、评标过程中有关澄清文件及经投标人法定代表人或授权代表签字确认的询标回复和承诺及中标通知书均作为合同组成部分。</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27.4供应商须在浙江政府采购网（http://ccgp-zhejiang.gov.cn）进行注册，具体详见浙江政府采购网供应商注册要求，中标供应商应在合同签订前完成注册并成为正式注册供应商。</w:t>
      </w:r>
    </w:p>
    <w:p>
      <w:pPr>
        <w:adjustRightInd w:val="0"/>
        <w:snapToGrid w:val="0"/>
        <w:spacing w:line="360" w:lineRule="auto"/>
        <w:jc w:val="left"/>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28．质量保证</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28.1</w:t>
      </w:r>
      <w:bookmarkStart w:id="44" w:name="_Hlk10122597"/>
      <w:r>
        <w:rPr>
          <w:rFonts w:hint="eastAsia" w:asciiTheme="minorEastAsia" w:hAnsiTheme="minorEastAsia" w:eastAsiaTheme="minorEastAsia"/>
          <w:snapToGrid w:val="0"/>
          <w:kern w:val="0"/>
          <w:szCs w:val="21"/>
        </w:rPr>
        <w:t>中标人在签订合同后7个工作日内必须向采购人交纳中标总额的5%作为质量保证金。质量保证金在设备验收合格后满12个月，无发现有质量问题和维护问题，凭中标人开具的正规收据全额无息退还。</w:t>
      </w:r>
      <w:bookmarkEnd w:id="44"/>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29.采购代理服务费</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本项目的采购代理费由中标人支付。分标项结算，计费标准：</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以中标（成交）金额为计费基准，按</w:t>
      </w:r>
      <w:r>
        <w:rPr>
          <w:rFonts w:hint="eastAsia" w:asciiTheme="minorEastAsia" w:hAnsiTheme="minorEastAsia" w:eastAsiaTheme="minorEastAsia"/>
          <w:snapToGrid w:val="0"/>
          <w:kern w:val="0"/>
          <w:highlight w:val="none"/>
        </w:rPr>
        <w:t>《计价格［2003］148号》</w:t>
      </w:r>
      <w:r>
        <w:rPr>
          <w:rFonts w:hint="eastAsia" w:asciiTheme="minorEastAsia" w:hAnsiTheme="minorEastAsia" w:eastAsiaTheme="minorEastAsia"/>
          <w:snapToGrid w:val="0"/>
          <w:kern w:val="0"/>
          <w:szCs w:val="21"/>
        </w:rPr>
        <w:t>及《发改办价格［2003］857号》规定的货物类收费标准下浮20%计取。</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按差额定率累进制计算,具体标准为:</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中标金额为100万元及以下：中标金额×1.2%；</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中标金额为100～500万元：100万×1.2%+(中标金额-100万)×0.88%。</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结算方式及时间为：在领取中标通知书时由中标人一次性向采购代理机构付清。</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30．采购结束</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31.1 中标人与采购人签订合同生效后即为采购结束。</w:t>
      </w:r>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31.2 本项目的投标文件不予退回。</w:t>
      </w:r>
    </w:p>
    <w:p>
      <w:pPr>
        <w:pStyle w:val="20"/>
        <w:ind w:firstLine="0"/>
        <w:rPr>
          <w:rFonts w:cs="仿宋_GB2312" w:asciiTheme="minorEastAsia" w:hAnsiTheme="minorEastAsia" w:eastAsiaTheme="minorEastAsia"/>
          <w:b/>
          <w:sz w:val="21"/>
          <w:szCs w:val="21"/>
        </w:rPr>
      </w:pPr>
      <w:r>
        <w:rPr>
          <w:rFonts w:hint="eastAsia" w:cs="仿宋_GB2312" w:asciiTheme="minorEastAsia" w:hAnsiTheme="minorEastAsia" w:eastAsiaTheme="minorEastAsia"/>
          <w:b/>
          <w:sz w:val="21"/>
          <w:szCs w:val="21"/>
        </w:rPr>
        <w:t>31.验收</w:t>
      </w:r>
    </w:p>
    <w:p>
      <w:pPr>
        <w:tabs>
          <w:tab w:val="left" w:pos="0"/>
        </w:tabs>
        <w:spacing w:line="360" w:lineRule="auto"/>
        <w:ind w:firstLine="480"/>
        <w:rPr>
          <w:rFonts w:cs="Helvetica" w:asciiTheme="minorEastAsia" w:hAnsiTheme="minorEastAsia" w:eastAsiaTheme="minorEastAsia"/>
          <w:kern w:val="0"/>
          <w:szCs w:val="21"/>
        </w:rPr>
      </w:pPr>
      <w:r>
        <w:rPr>
          <w:rFonts w:hint="eastAsia" w:cs="Helvetica" w:asciiTheme="minorEastAsia" w:hAnsiTheme="minorEastAsia" w:eastAsiaTheme="minorEastAsia"/>
          <w:kern w:val="0"/>
          <w:szCs w:val="21"/>
        </w:rPr>
        <w:t>31.1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Cs w:val="21"/>
        </w:rPr>
      </w:pPr>
      <w:r>
        <w:rPr>
          <w:rFonts w:hint="eastAsia" w:cs="Helvetica" w:asciiTheme="minorEastAsia" w:hAnsiTheme="minorEastAsia" w:eastAsiaTheme="minorEastAsia"/>
          <w:kern w:val="0"/>
          <w:szCs w:val="21"/>
        </w:rPr>
        <w:t>31.2采购人可以邀请参加本项目的其他投标人或者第三方机构参与验收。参与验收的投标人或者第三方机构的意见作为验收书的参考资料一并存档。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Cs w:val="21"/>
        </w:rPr>
      </w:pPr>
      <w:r>
        <w:rPr>
          <w:rFonts w:hint="eastAsia" w:cs="Helvetica" w:asciiTheme="minorEastAsia" w:hAnsiTheme="minorEastAsia" w:eastAsiaTheme="minorEastAsia"/>
          <w:kern w:val="0"/>
          <w:szCs w:val="21"/>
        </w:rPr>
        <w:t>31.3 采购人负责加强对中标人的履约管理，并按照采购合同约定，及时向中标人支付采购资金。对于中标人违反采购合同约定的行为，采购人应当及时处理，依法追究其违约责任。</w:t>
      </w:r>
    </w:p>
    <w:p>
      <w:pPr>
        <w:tabs>
          <w:tab w:val="left" w:pos="0"/>
        </w:tabs>
        <w:spacing w:line="360" w:lineRule="auto"/>
        <w:rPr>
          <w:rFonts w:cs="Helvetica" w:asciiTheme="minorEastAsia" w:hAnsiTheme="minorEastAsia" w:eastAsiaTheme="minorEastAsia"/>
          <w:kern w:val="0"/>
          <w:szCs w:val="21"/>
        </w:rPr>
      </w:pPr>
      <w:r>
        <w:rPr>
          <w:rFonts w:hint="eastAsia" w:cs="仿宋_GB2312" w:asciiTheme="minorEastAsia" w:hAnsiTheme="minorEastAsia" w:eastAsiaTheme="minorEastAsia"/>
          <w:b/>
          <w:szCs w:val="21"/>
        </w:rPr>
        <w:t>32. 售后服务考核</w:t>
      </w:r>
    </w:p>
    <w:p>
      <w:pPr>
        <w:tabs>
          <w:tab w:val="left" w:pos="0"/>
        </w:tabs>
        <w:spacing w:line="360" w:lineRule="auto"/>
        <w:ind w:firstLine="480"/>
        <w:rPr>
          <w:rFonts w:cs="仿宋_GB2312" w:asciiTheme="minorEastAsia" w:hAnsiTheme="minorEastAsia" w:eastAsiaTheme="minorEastAsia"/>
          <w:szCs w:val="21"/>
        </w:rPr>
      </w:pPr>
      <w:r>
        <w:rPr>
          <w:rFonts w:hint="eastAsia" w:cs="仿宋_GB2312" w:asciiTheme="minorEastAsia" w:hAnsiTheme="minorEastAsia" w:eastAsiaTheme="minorEastAsia"/>
          <w:szCs w:val="21"/>
        </w:rPr>
        <w:t>采购机构将配合政府采购监管部门不定期对合同的履约情况进行检查，发现弄虚作假，偷工减料，以次充好，达不到国家、行业有关标准和技术文件规定的，一经查实，由政府采购监督管理部门给予相应处罚。</w:t>
      </w:r>
    </w:p>
    <w:p>
      <w:pPr>
        <w:pStyle w:val="4"/>
        <w:snapToGrid w:val="0"/>
        <w:spacing w:before="0" w:after="0" w:line="360" w:lineRule="auto"/>
        <w:rPr>
          <w:rFonts w:asciiTheme="minorEastAsia" w:hAnsiTheme="minorEastAsia" w:eastAsiaTheme="minorEastAsia"/>
          <w:snapToGrid w:val="0"/>
          <w:kern w:val="0"/>
          <w:sz w:val="21"/>
          <w:szCs w:val="21"/>
        </w:rPr>
      </w:pPr>
      <w:bookmarkStart w:id="45" w:name="_Toc525308258"/>
      <w:bookmarkStart w:id="46" w:name="_Toc23154222"/>
      <w:r>
        <w:rPr>
          <w:rFonts w:hint="eastAsia" w:asciiTheme="minorEastAsia" w:hAnsiTheme="minorEastAsia" w:eastAsiaTheme="minorEastAsia"/>
          <w:snapToGrid w:val="0"/>
          <w:kern w:val="0"/>
          <w:sz w:val="21"/>
          <w:szCs w:val="21"/>
        </w:rPr>
        <w:t>七、质疑与投诉</w:t>
      </w:r>
      <w:bookmarkEnd w:id="45"/>
      <w:bookmarkEnd w:id="46"/>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根据《中华人民共和国政府采购法》、《中华人民共和国政府采购法实施条例》、《中华人民共和国财政部令第94号政府采购质疑和投诉办法》和《浙江省政府采购供应商质疑处理办法》（浙财采监[2012]18号）的规定，政府采购供应商可以依法提起质疑和投诉。</w:t>
      </w:r>
    </w:p>
    <w:p>
      <w:pPr>
        <w:autoSpaceDE w:val="0"/>
        <w:autoSpaceDN w:val="0"/>
        <w:spacing w:line="360" w:lineRule="auto"/>
        <w:jc w:val="left"/>
        <w:rPr>
          <w:rFonts w:cs="微软雅黑" w:asciiTheme="minorEastAsia" w:hAnsiTheme="minorEastAsia" w:eastAsiaTheme="minorEastAsia"/>
          <w:b/>
          <w:kern w:val="0"/>
          <w:szCs w:val="21"/>
          <w:lang w:val="zh-CN"/>
        </w:rPr>
      </w:pPr>
      <w:r>
        <w:rPr>
          <w:rFonts w:hint="eastAsia" w:cs="微软雅黑" w:asciiTheme="minorEastAsia" w:hAnsiTheme="minorEastAsia" w:eastAsiaTheme="minorEastAsia"/>
          <w:b/>
          <w:kern w:val="0"/>
          <w:szCs w:val="21"/>
          <w:lang w:val="zh-CN"/>
        </w:rPr>
        <w:t>33.供应商询问</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供应商对政府采购活动事项有疑问的，可以向采购机构提出询问，采购机构将对供应商依法提出的询问作出答复，但答复的内容不得涉及商业秘密。</w:t>
      </w:r>
    </w:p>
    <w:p>
      <w:pPr>
        <w:autoSpaceDE w:val="0"/>
        <w:autoSpaceDN w:val="0"/>
        <w:spacing w:line="360" w:lineRule="auto"/>
        <w:jc w:val="left"/>
        <w:rPr>
          <w:rFonts w:cs="微软雅黑" w:asciiTheme="minorEastAsia" w:hAnsiTheme="minorEastAsia" w:eastAsiaTheme="minorEastAsia"/>
          <w:b/>
          <w:kern w:val="0"/>
          <w:szCs w:val="21"/>
          <w:lang w:val="zh-CN"/>
        </w:rPr>
      </w:pPr>
      <w:r>
        <w:rPr>
          <w:rFonts w:hint="eastAsia" w:cs="微软雅黑" w:asciiTheme="minorEastAsia" w:hAnsiTheme="minorEastAsia" w:eastAsiaTheme="minorEastAsia"/>
          <w:b/>
          <w:kern w:val="0"/>
          <w:szCs w:val="21"/>
          <w:lang w:val="zh-CN"/>
        </w:rPr>
        <w:t>34.供应商质疑</w:t>
      </w:r>
    </w:p>
    <w:p>
      <w:pPr>
        <w:pStyle w:val="25"/>
        <w:spacing w:line="360" w:lineRule="auto"/>
        <w:ind w:firstLine="315" w:firstLineChars="150"/>
        <w:rPr>
          <w:rFonts w:asciiTheme="minorEastAsia" w:hAnsiTheme="minorEastAsia" w:eastAsiaTheme="minorEastAsia"/>
        </w:rPr>
      </w:pPr>
      <w:r>
        <w:rPr>
          <w:rFonts w:hint="eastAsia" w:asciiTheme="minorEastAsia" w:hAnsiTheme="minorEastAsia" w:eastAsiaTheme="minorEastAsia"/>
        </w:rPr>
        <w:t>34.1供应商认为采购文件、采购过程和成交结果使自己的权益受到损害的，可以在知道或者应知其权益受到损害之日起七个工作日内，以书面形式向采购机构提出质疑，否则，采购机构不予受理：</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（2）对采购过程提出质疑的，质疑期限为各采购程序环节结束之日起计算。</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（3）对采购结果提出质疑的，质疑期限自采购结果公告（包括公示、预公告、结果变更公告等）期限届满之日起计算。</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34.2供应商提交的质疑书需一式三份，由法定代表人签字（或盖章）并加盖单位公章。质疑书至少应包括下列主要内容：</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（1）质疑人的名称、地址、邮政编码、联系人、联系电话，以及被质疑人名称及联系方式；</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（2）被质疑采购项目名称、编号及采购内容；</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（3）具体的质疑事项及事实依据；</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（4）认为自己合法权益受到损害或可能受到损害的相关证据材料；</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（5）提出质疑的日期。</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34.3采购机构应当在收到供应商的书面质疑后七个工作日内作出答复，并以书面形式通知质疑供应商和其他与质疑处理结果有利害关系的政府采购当事人，但答复的内容不得涉及商业秘密。</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34.4询问或者质疑事项可能影响采购结果的，采购人应当暂停签订合同，已经签订合同的，应当中止履行合同。</w:t>
      </w:r>
    </w:p>
    <w:p>
      <w:pPr>
        <w:pStyle w:val="25"/>
        <w:spacing w:line="360" w:lineRule="auto"/>
        <w:rPr>
          <w:rFonts w:asciiTheme="minorEastAsia" w:hAnsiTheme="minorEastAsia" w:eastAsiaTheme="minorEastAsia"/>
        </w:rPr>
      </w:pPr>
      <w:r>
        <w:rPr>
          <w:rFonts w:hint="eastAsia" w:cs="微软雅黑" w:asciiTheme="minorEastAsia" w:hAnsiTheme="minorEastAsia" w:eastAsiaTheme="minorEastAsia"/>
          <w:b/>
          <w:kern w:val="0"/>
          <w:lang w:val="zh-CN"/>
        </w:rPr>
        <w:t>35.供应商投诉</w:t>
      </w:r>
    </w:p>
    <w:p>
      <w:pPr>
        <w:pStyle w:val="25"/>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35.1供应商质疑、投诉应当有明确的请求和必要的证明材料。供应商投诉的事项不得超出已质疑事项的范围。</w:t>
      </w:r>
    </w:p>
    <w:p>
      <w:pPr>
        <w:pStyle w:val="131"/>
        <w:snapToGrid w:val="0"/>
        <w:spacing w:before="0" w:line="460" w:lineRule="exact"/>
        <w:ind w:firstLine="315" w:firstLineChars="15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35.2质疑供应商对采购机构的答复不满意或者采购机构未在规定的时间内作出答复的，可以在答复期满后十五个工作日内向同级政府采购监督管理部门提出投诉。</w:t>
      </w:r>
    </w:p>
    <w:p>
      <w:pPr>
        <w:pStyle w:val="131"/>
        <w:snapToGrid w:val="0"/>
        <w:spacing w:before="0"/>
        <w:ind w:firstLine="422"/>
        <w:rPr>
          <w:rFonts w:cs="仿宋_GB2312" w:asciiTheme="minorEastAsia" w:hAnsiTheme="minorEastAsia" w:eastAsiaTheme="minorEastAsia"/>
          <w:b/>
          <w:sz w:val="21"/>
          <w:szCs w:val="21"/>
        </w:rPr>
      </w:pPr>
    </w:p>
    <w:p>
      <w:pPr>
        <w:pStyle w:val="4"/>
        <w:snapToGrid w:val="0"/>
        <w:spacing w:before="0" w:after="0" w:line="360" w:lineRule="auto"/>
        <w:rPr>
          <w:rFonts w:asciiTheme="minorEastAsia" w:hAnsiTheme="minorEastAsia" w:eastAsiaTheme="minorEastAsia"/>
          <w:snapToGrid w:val="0"/>
          <w:kern w:val="0"/>
          <w:sz w:val="21"/>
          <w:szCs w:val="21"/>
        </w:rPr>
      </w:pPr>
      <w:bookmarkStart w:id="47" w:name="_Toc23154223"/>
      <w:bookmarkStart w:id="48" w:name="_Toc525308259"/>
      <w:r>
        <w:rPr>
          <w:rFonts w:hint="eastAsia" w:asciiTheme="minorEastAsia" w:hAnsiTheme="minorEastAsia" w:eastAsiaTheme="minorEastAsia"/>
          <w:snapToGrid w:val="0"/>
          <w:kern w:val="0"/>
          <w:sz w:val="21"/>
          <w:szCs w:val="21"/>
        </w:rPr>
        <w:t>八、解释权</w:t>
      </w:r>
      <w:bookmarkEnd w:id="47"/>
      <w:bookmarkEnd w:id="48"/>
    </w:p>
    <w:p>
      <w:pPr>
        <w:pStyle w:val="131"/>
        <w:snapToGrid w:val="0"/>
        <w:spacing w:before="0"/>
        <w:ind w:firstLine="4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凡涉及本招标文件的解释权均属于浙江中诺招标代理有限公司和杭州市水文水资源监测总站。</w:t>
      </w:r>
    </w:p>
    <w:p>
      <w:pPr>
        <w:adjustRightInd w:val="0"/>
        <w:snapToGrid w:val="0"/>
        <w:spacing w:line="360" w:lineRule="auto"/>
        <w:outlineLvl w:val="0"/>
        <w:rPr>
          <w:rFonts w:asciiTheme="minorEastAsia" w:hAnsiTheme="minorEastAsia" w:eastAsiaTheme="minorEastAsia"/>
          <w:b/>
          <w:snapToGrid w:val="0"/>
          <w:kern w:val="0"/>
          <w:sz w:val="30"/>
          <w:szCs w:val="30"/>
        </w:rPr>
        <w:sectPr>
          <w:footerReference r:id="rId6" w:type="default"/>
          <w:footerReference r:id="rId7" w:type="even"/>
          <w:pgSz w:w="11906" w:h="16838"/>
          <w:pgMar w:top="1304" w:right="1588" w:bottom="1304" w:left="1588" w:header="851" w:footer="680" w:gutter="0"/>
          <w:cols w:space="720" w:num="1"/>
          <w:docGrid w:linePitch="312" w:charSpace="0"/>
        </w:sectPr>
      </w:pPr>
    </w:p>
    <w:p>
      <w:pPr>
        <w:adjustRightInd w:val="0"/>
        <w:snapToGrid w:val="0"/>
        <w:spacing w:line="360" w:lineRule="auto"/>
        <w:outlineLvl w:val="0"/>
        <w:rPr>
          <w:rFonts w:asciiTheme="minorEastAsia" w:hAnsiTheme="minorEastAsia" w:eastAsiaTheme="minorEastAsia"/>
          <w:b/>
          <w:snapToGrid w:val="0"/>
          <w:kern w:val="0"/>
          <w:sz w:val="30"/>
          <w:szCs w:val="30"/>
        </w:rPr>
      </w:pPr>
    </w:p>
    <w:bookmarkEnd w:id="15"/>
    <w:bookmarkEnd w:id="16"/>
    <w:bookmarkEnd w:id="17"/>
    <w:p>
      <w:pPr>
        <w:adjustRightInd w:val="0"/>
        <w:snapToGrid w:val="0"/>
        <w:spacing w:line="360" w:lineRule="auto"/>
        <w:jc w:val="center"/>
        <w:outlineLvl w:val="0"/>
        <w:rPr>
          <w:rFonts w:asciiTheme="minorEastAsia" w:hAnsiTheme="minorEastAsia" w:eastAsiaTheme="minorEastAsia"/>
          <w:b/>
          <w:snapToGrid w:val="0"/>
          <w:kern w:val="0"/>
          <w:sz w:val="28"/>
          <w:szCs w:val="28"/>
        </w:rPr>
      </w:pPr>
      <w:bookmarkStart w:id="49" w:name="_Toc23154224"/>
      <w:bookmarkStart w:id="50" w:name="_Toc420670300"/>
      <w:bookmarkStart w:id="51" w:name="_Toc242012824"/>
      <w:r>
        <w:rPr>
          <w:rFonts w:hint="eastAsia" w:asciiTheme="minorEastAsia" w:hAnsiTheme="minorEastAsia" w:eastAsiaTheme="minorEastAsia"/>
          <w:b/>
          <w:snapToGrid w:val="0"/>
          <w:kern w:val="0"/>
          <w:sz w:val="28"/>
          <w:szCs w:val="28"/>
        </w:rPr>
        <w:t>第三部分  用户需求书</w:t>
      </w:r>
      <w:bookmarkEnd w:id="49"/>
    </w:p>
    <w:bookmarkEnd w:id="50"/>
    <w:bookmarkEnd w:id="51"/>
    <w:p>
      <w:pPr>
        <w:pStyle w:val="4"/>
        <w:snapToGrid w:val="0"/>
        <w:spacing w:before="0" w:after="0" w:line="360" w:lineRule="auto"/>
        <w:rPr>
          <w:rFonts w:asciiTheme="minorEastAsia" w:hAnsiTheme="minorEastAsia" w:eastAsiaTheme="minorEastAsia"/>
          <w:snapToGrid w:val="0"/>
          <w:kern w:val="0"/>
          <w:sz w:val="21"/>
          <w:szCs w:val="21"/>
        </w:rPr>
      </w:pPr>
      <w:bookmarkStart w:id="52" w:name="_Toc23154225"/>
      <w:bookmarkStart w:id="53" w:name="_Toc17451392"/>
      <w:bookmarkStart w:id="54" w:name="_Toc295465365"/>
      <w:r>
        <w:rPr>
          <w:rFonts w:hint="eastAsia" w:asciiTheme="minorEastAsia" w:hAnsiTheme="minorEastAsia" w:eastAsiaTheme="minorEastAsia"/>
          <w:snapToGrid w:val="0"/>
          <w:kern w:val="0"/>
          <w:sz w:val="21"/>
          <w:szCs w:val="21"/>
        </w:rPr>
        <w:t>一、系统数据环境分析及数据库建设</w:t>
      </w:r>
      <w:bookmarkEnd w:id="52"/>
      <w:bookmarkEnd w:id="53"/>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完成对系统建设硬件环境、软件环境、数据库系统以及开发系统平台的需求分析。</w:t>
      </w:r>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完成实时水情数据的接入、历史特征库的建立、气象预测数据库的建立以及历史洪水数据库的建立等。</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55" w:name="_Toc17451393"/>
      <w:r>
        <w:rPr>
          <w:rFonts w:hint="eastAsia" w:asciiTheme="minorEastAsia" w:hAnsiTheme="minorEastAsia" w:eastAsiaTheme="minorEastAsia"/>
          <w:sz w:val="21"/>
          <w:szCs w:val="21"/>
        </w:rPr>
        <w:t>1.1接入实时水情数据</w:t>
      </w:r>
      <w:bookmarkEnd w:id="55"/>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从已建的数据中心接入各类实时水雨情数据，其中包括雨量、水位、流量等数据，并存储在本次建设的后台水情数据库中。</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56" w:name="_Toc17451394"/>
      <w:r>
        <w:rPr>
          <w:rFonts w:hint="eastAsia" w:asciiTheme="minorEastAsia" w:hAnsiTheme="minorEastAsia" w:eastAsiaTheme="minorEastAsia"/>
          <w:sz w:val="21"/>
          <w:szCs w:val="21"/>
        </w:rPr>
        <w:t>1.2建立历史洪水数据库</w:t>
      </w:r>
      <w:bookmarkEnd w:id="56"/>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完成重要水文站的近1</w:t>
      </w:r>
      <w:r>
        <w:rPr>
          <w:rFonts w:cs="黑体" w:asciiTheme="minorEastAsia" w:hAnsiTheme="minorEastAsia" w:eastAsiaTheme="minorEastAsia"/>
          <w:bCs/>
          <w:sz w:val="21"/>
          <w:szCs w:val="21"/>
        </w:rPr>
        <w:t>0</w:t>
      </w:r>
      <w:r>
        <w:rPr>
          <w:rFonts w:hint="eastAsia" w:cs="黑体" w:asciiTheme="minorEastAsia" w:hAnsiTheme="minorEastAsia" w:eastAsiaTheme="minorEastAsia"/>
          <w:bCs/>
          <w:sz w:val="21"/>
          <w:szCs w:val="21"/>
        </w:rPr>
        <w:t>年洪水资料整理，重要水文站包括瓶窑、分水江、之江、源口、桥东村共5个。</w:t>
      </w:r>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完成全市1</w:t>
      </w:r>
      <w:r>
        <w:rPr>
          <w:rFonts w:cs="黑体" w:asciiTheme="minorEastAsia" w:hAnsiTheme="minorEastAsia" w:eastAsiaTheme="minorEastAsia"/>
          <w:bCs/>
          <w:sz w:val="21"/>
          <w:szCs w:val="21"/>
        </w:rPr>
        <w:t>8</w:t>
      </w:r>
      <w:r>
        <w:rPr>
          <w:rFonts w:hint="eastAsia" w:cs="黑体" w:asciiTheme="minorEastAsia" w:hAnsiTheme="minorEastAsia" w:eastAsiaTheme="minorEastAsia"/>
          <w:bCs/>
          <w:sz w:val="21"/>
          <w:szCs w:val="21"/>
        </w:rPr>
        <w:t>座大中型水库近10年洪水资料整理。</w:t>
      </w:r>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整理的内容包括站点水位流量过程、洪峰水位、洪峰流量，控制站上游水位过程及特征水位，控制站上游区域面雨量过程，各雨量代表站雨量过程等。</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57" w:name="_Toc17451395"/>
      <w:r>
        <w:rPr>
          <w:rFonts w:hint="eastAsia" w:asciiTheme="minorEastAsia" w:hAnsiTheme="minorEastAsia" w:eastAsiaTheme="minorEastAsia"/>
          <w:sz w:val="21"/>
          <w:szCs w:val="21"/>
        </w:rPr>
        <w:t>1.3建立气象预测数据库</w:t>
      </w:r>
      <w:bookmarkEnd w:id="57"/>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建立气象数据文件定时下载机制，定时从杭州市气象局获取气象预测原始数据，并对数据进行批量解码和数据转换，生成符合水文部门要求的数据，并存入气象数据库中。</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58" w:name="_Toc10312795"/>
      <w:bookmarkStart w:id="59" w:name="_Toc17451396"/>
      <w:r>
        <w:rPr>
          <w:rFonts w:hint="eastAsia" w:asciiTheme="minorEastAsia" w:hAnsiTheme="minorEastAsia" w:eastAsiaTheme="minorEastAsia"/>
          <w:sz w:val="21"/>
          <w:szCs w:val="21"/>
        </w:rPr>
        <w:t>1.4建立及管理水文历史特征数据库</w:t>
      </w:r>
      <w:bookmarkEnd w:id="58"/>
      <w:bookmarkEnd w:id="59"/>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完成对水文历史数据的整理，包括全市所有水文资料站历史数据的整理，其整理内容包括：国家基本站历史沿革、水文数据收集和整理、数据库表结构设计及建库、历史水位资料基面转换、历史水位流量资料系列插补、历史雨量的逐小时标准化处理。</w:t>
      </w:r>
    </w:p>
    <w:p>
      <w:pPr>
        <w:pStyle w:val="20"/>
        <w:rPr>
          <w:rFonts w:cs="黑体" w:asciiTheme="minorEastAsia" w:hAnsiTheme="minorEastAsia" w:eastAsiaTheme="minorEastAsia"/>
          <w:bCs/>
          <w:sz w:val="21"/>
          <w:szCs w:val="21"/>
        </w:rPr>
      </w:pPr>
      <w:r>
        <w:rPr>
          <w:rFonts w:hint="eastAsia" w:cs="黑体" w:asciiTheme="minorEastAsia" w:hAnsiTheme="minorEastAsia" w:eastAsiaTheme="minorEastAsia"/>
          <w:bCs/>
          <w:sz w:val="21"/>
          <w:szCs w:val="21"/>
        </w:rPr>
        <w:t>建立水文历史特征信息标准库，内容包括：设计历史特征信息库表结构、建立</w:t>
      </w:r>
      <w:r>
        <w:rPr>
          <w:rFonts w:cs="黑体" w:asciiTheme="minorEastAsia" w:hAnsiTheme="minorEastAsia" w:eastAsiaTheme="minorEastAsia"/>
          <w:bCs/>
          <w:sz w:val="21"/>
          <w:szCs w:val="21"/>
        </w:rPr>
        <w:t>水文历史特征数据库、</w:t>
      </w:r>
      <w:r>
        <w:rPr>
          <w:rFonts w:hint="eastAsia" w:cs="黑体" w:asciiTheme="minorEastAsia" w:hAnsiTheme="minorEastAsia" w:eastAsiaTheme="minorEastAsia"/>
          <w:bCs/>
          <w:sz w:val="21"/>
          <w:szCs w:val="21"/>
        </w:rPr>
        <w:t>建立特征提取更新机制、开发数据库管理维护模块。第一，根据浙江省</w:t>
      </w:r>
      <w:r>
        <w:rPr>
          <w:rFonts w:cs="黑体" w:asciiTheme="minorEastAsia" w:hAnsiTheme="minorEastAsia" w:eastAsiaTheme="minorEastAsia"/>
          <w:bCs/>
          <w:sz w:val="21"/>
          <w:szCs w:val="21"/>
        </w:rPr>
        <w:t>水文管理中心下发的《</w:t>
      </w:r>
      <w:r>
        <w:rPr>
          <w:rFonts w:hint="eastAsia" w:cs="黑体" w:asciiTheme="minorEastAsia" w:hAnsiTheme="minorEastAsia" w:eastAsiaTheme="minorEastAsia"/>
          <w:bCs/>
          <w:sz w:val="21"/>
          <w:szCs w:val="21"/>
        </w:rPr>
        <w:t>水情</w:t>
      </w:r>
      <w:r>
        <w:rPr>
          <w:rFonts w:cs="黑体" w:asciiTheme="minorEastAsia" w:hAnsiTheme="minorEastAsia" w:eastAsiaTheme="minorEastAsia"/>
          <w:bCs/>
          <w:sz w:val="21"/>
          <w:szCs w:val="21"/>
        </w:rPr>
        <w:t>历史特征信息数据库表结构</w:t>
      </w:r>
      <w:r>
        <w:rPr>
          <w:rFonts w:hint="eastAsia" w:cs="黑体" w:asciiTheme="minorEastAsia" w:hAnsiTheme="minorEastAsia" w:eastAsiaTheme="minorEastAsia"/>
          <w:bCs/>
          <w:sz w:val="21"/>
          <w:szCs w:val="21"/>
        </w:rPr>
        <w:t>及</w:t>
      </w:r>
      <w:r>
        <w:rPr>
          <w:rFonts w:cs="黑体" w:asciiTheme="minorEastAsia" w:hAnsiTheme="minorEastAsia" w:eastAsiaTheme="minorEastAsia"/>
          <w:bCs/>
          <w:sz w:val="21"/>
          <w:szCs w:val="21"/>
        </w:rPr>
        <w:t>标识符（</w:t>
      </w:r>
      <w:r>
        <w:rPr>
          <w:rFonts w:hint="eastAsia" w:cs="黑体" w:asciiTheme="minorEastAsia" w:hAnsiTheme="minorEastAsia" w:eastAsiaTheme="minorEastAsia"/>
          <w:bCs/>
          <w:sz w:val="21"/>
          <w:szCs w:val="21"/>
        </w:rPr>
        <w:t>试行</w:t>
      </w:r>
      <w:r>
        <w:rPr>
          <w:rFonts w:cs="黑体" w:asciiTheme="minorEastAsia" w:hAnsiTheme="minorEastAsia" w:eastAsiaTheme="minorEastAsia"/>
          <w:bCs/>
          <w:sz w:val="21"/>
          <w:szCs w:val="21"/>
        </w:rPr>
        <w:t>）》</w:t>
      </w:r>
      <w:r>
        <w:rPr>
          <w:rFonts w:hint="eastAsia" w:cs="黑体" w:asciiTheme="minorEastAsia" w:hAnsiTheme="minorEastAsia" w:eastAsiaTheme="minorEastAsia"/>
          <w:bCs/>
          <w:sz w:val="21"/>
          <w:szCs w:val="21"/>
        </w:rPr>
        <w:t>（浙水文</w:t>
      </w:r>
      <w:r>
        <w:rPr>
          <w:rFonts w:cs="黑体" w:asciiTheme="minorEastAsia" w:hAnsiTheme="minorEastAsia" w:eastAsiaTheme="minorEastAsia"/>
          <w:bCs/>
          <w:sz w:val="21"/>
          <w:szCs w:val="21"/>
        </w:rPr>
        <w:t>【</w:t>
      </w:r>
      <w:r>
        <w:rPr>
          <w:rFonts w:hint="eastAsia" w:cs="黑体" w:asciiTheme="minorEastAsia" w:hAnsiTheme="minorEastAsia" w:eastAsiaTheme="minorEastAsia"/>
          <w:bCs/>
          <w:sz w:val="21"/>
          <w:szCs w:val="21"/>
        </w:rPr>
        <w:t>2018</w:t>
      </w:r>
      <w:r>
        <w:rPr>
          <w:rFonts w:cs="黑体" w:asciiTheme="minorEastAsia" w:hAnsiTheme="minorEastAsia" w:eastAsiaTheme="minorEastAsia"/>
          <w:bCs/>
          <w:sz w:val="21"/>
          <w:szCs w:val="21"/>
        </w:rPr>
        <w:t>】</w:t>
      </w:r>
      <w:r>
        <w:rPr>
          <w:rFonts w:hint="eastAsia" w:cs="黑体" w:asciiTheme="minorEastAsia" w:hAnsiTheme="minorEastAsia" w:eastAsiaTheme="minorEastAsia"/>
          <w:bCs/>
          <w:sz w:val="21"/>
          <w:szCs w:val="21"/>
        </w:rPr>
        <w:t>82号）行业标准，设计水文历史特征信息数据库表结构；第二，</w:t>
      </w:r>
      <w:r>
        <w:rPr>
          <w:rFonts w:cs="黑体" w:asciiTheme="minorEastAsia" w:hAnsiTheme="minorEastAsia" w:eastAsiaTheme="minorEastAsia"/>
          <w:bCs/>
          <w:sz w:val="21"/>
          <w:szCs w:val="21"/>
        </w:rPr>
        <w:t>根据水文历史特征</w:t>
      </w:r>
      <w:r>
        <w:rPr>
          <w:rFonts w:hint="eastAsia" w:cs="黑体" w:asciiTheme="minorEastAsia" w:hAnsiTheme="minorEastAsia" w:eastAsiaTheme="minorEastAsia"/>
          <w:bCs/>
          <w:sz w:val="21"/>
          <w:szCs w:val="21"/>
        </w:rPr>
        <w:t>数据库</w:t>
      </w:r>
      <w:r>
        <w:rPr>
          <w:rFonts w:cs="黑体" w:asciiTheme="minorEastAsia" w:hAnsiTheme="minorEastAsia" w:eastAsiaTheme="minorEastAsia"/>
          <w:bCs/>
          <w:sz w:val="21"/>
          <w:szCs w:val="21"/>
        </w:rPr>
        <w:t>表结构，</w:t>
      </w:r>
      <w:r>
        <w:rPr>
          <w:rFonts w:hint="eastAsia" w:cs="黑体" w:asciiTheme="minorEastAsia" w:hAnsiTheme="minorEastAsia" w:eastAsiaTheme="minorEastAsia"/>
          <w:bCs/>
          <w:sz w:val="21"/>
          <w:szCs w:val="21"/>
        </w:rPr>
        <w:t>建立全市</w:t>
      </w:r>
      <w:r>
        <w:rPr>
          <w:rFonts w:cs="黑体" w:asciiTheme="minorEastAsia" w:hAnsiTheme="minorEastAsia" w:eastAsiaTheme="minorEastAsia"/>
          <w:bCs/>
          <w:sz w:val="21"/>
          <w:szCs w:val="21"/>
        </w:rPr>
        <w:t>所有水文资料站历史特征数据库；第三，</w:t>
      </w:r>
      <w:r>
        <w:rPr>
          <w:rFonts w:hint="eastAsia" w:cs="黑体" w:asciiTheme="minorEastAsia" w:hAnsiTheme="minorEastAsia" w:eastAsiaTheme="minorEastAsia"/>
          <w:bCs/>
          <w:sz w:val="21"/>
          <w:szCs w:val="21"/>
        </w:rPr>
        <w:t>根据不同特征信息建立校核机制，并规划提取更新频次及时间安排，确定特征信息的更新机制；第四，开发数据库管理维护模块，实现对提取后的特征信息成果数据库进行日常管理</w:t>
      </w:r>
      <w:r>
        <w:rPr>
          <w:rFonts w:cs="黑体" w:asciiTheme="minorEastAsia" w:hAnsiTheme="minorEastAsia" w:eastAsiaTheme="minorEastAsia"/>
          <w:bCs/>
          <w:sz w:val="21"/>
          <w:szCs w:val="21"/>
        </w:rPr>
        <w:t>维护</w:t>
      </w:r>
      <w:r>
        <w:rPr>
          <w:rFonts w:hint="eastAsia" w:cs="黑体" w:asciiTheme="minorEastAsia" w:hAnsiTheme="minorEastAsia" w:eastAsiaTheme="minorEastAsia"/>
          <w:bCs/>
          <w:sz w:val="21"/>
          <w:szCs w:val="21"/>
        </w:rPr>
        <w:t>，确保数据的流转、管理及应用。</w:t>
      </w:r>
    </w:p>
    <w:p>
      <w:pPr>
        <w:pStyle w:val="4"/>
        <w:widowControl/>
        <w:numPr>
          <w:ilvl w:val="1"/>
          <w:numId w:val="0"/>
        </w:numPr>
        <w:adjustRightInd/>
        <w:spacing w:line="360" w:lineRule="auto"/>
        <w:ind w:left="576" w:hanging="576"/>
        <w:jc w:val="both"/>
        <w:rPr>
          <w:rFonts w:asciiTheme="minorEastAsia" w:hAnsiTheme="minorEastAsia" w:eastAsiaTheme="minorEastAsia"/>
          <w:sz w:val="21"/>
          <w:szCs w:val="21"/>
        </w:rPr>
      </w:pPr>
      <w:bookmarkStart w:id="60" w:name="_Toc10312802"/>
      <w:bookmarkStart w:id="61" w:name="_Toc23154226"/>
      <w:bookmarkStart w:id="62" w:name="_Toc17451397"/>
      <w:r>
        <w:rPr>
          <w:rFonts w:hint="eastAsia" w:asciiTheme="minorEastAsia" w:hAnsiTheme="minorEastAsia" w:eastAsiaTheme="minorEastAsia"/>
          <w:sz w:val="21"/>
          <w:szCs w:val="21"/>
        </w:rPr>
        <w:t>二、水雨情数据历史</w:t>
      </w:r>
      <w:r>
        <w:rPr>
          <w:rFonts w:asciiTheme="minorEastAsia" w:hAnsiTheme="minorEastAsia" w:eastAsiaTheme="minorEastAsia"/>
          <w:sz w:val="21"/>
          <w:szCs w:val="21"/>
        </w:rPr>
        <w:t>对比</w:t>
      </w:r>
      <w:r>
        <w:rPr>
          <w:rFonts w:hint="eastAsia" w:asciiTheme="minorEastAsia" w:hAnsiTheme="minorEastAsia" w:eastAsiaTheme="minorEastAsia"/>
          <w:sz w:val="21"/>
          <w:szCs w:val="21"/>
        </w:rPr>
        <w:t>分析及</w:t>
      </w:r>
      <w:bookmarkEnd w:id="60"/>
      <w:r>
        <w:rPr>
          <w:rFonts w:hint="eastAsia" w:asciiTheme="minorEastAsia" w:hAnsiTheme="minorEastAsia" w:eastAsiaTheme="minorEastAsia"/>
          <w:sz w:val="21"/>
          <w:szCs w:val="21"/>
        </w:rPr>
        <w:t>共享服务</w:t>
      </w:r>
      <w:bookmarkEnd w:id="61"/>
      <w:bookmarkEnd w:id="62"/>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2.1实时数据与</w:t>
      </w:r>
      <w:r>
        <w:rPr>
          <w:rFonts w:asciiTheme="minorEastAsia" w:hAnsiTheme="minorEastAsia" w:eastAsiaTheme="minorEastAsia"/>
          <w:sz w:val="21"/>
          <w:szCs w:val="21"/>
        </w:rPr>
        <w:t>历史</w:t>
      </w:r>
      <w:r>
        <w:rPr>
          <w:rFonts w:hint="eastAsia" w:asciiTheme="minorEastAsia" w:hAnsiTheme="minorEastAsia" w:eastAsiaTheme="minorEastAsia"/>
          <w:sz w:val="21"/>
          <w:szCs w:val="21"/>
        </w:rPr>
        <w:t>特征</w:t>
      </w:r>
      <w:r>
        <w:rPr>
          <w:rFonts w:asciiTheme="minorEastAsia" w:hAnsiTheme="minorEastAsia" w:eastAsiaTheme="minorEastAsia"/>
          <w:sz w:val="21"/>
          <w:szCs w:val="21"/>
        </w:rPr>
        <w:t>数据的融合</w:t>
      </w:r>
    </w:p>
    <w:p>
      <w:pPr>
        <w:spacing w:line="360" w:lineRule="auto"/>
        <w:ind w:firstLine="424" w:firstLineChars="202"/>
        <w:rPr>
          <w:rFonts w:asciiTheme="minorEastAsia" w:hAnsiTheme="minorEastAsia"/>
          <w:szCs w:val="21"/>
        </w:rPr>
      </w:pPr>
      <w:r>
        <w:rPr>
          <w:rFonts w:hint="eastAsia" w:asciiTheme="minorEastAsia" w:hAnsiTheme="minorEastAsia"/>
          <w:szCs w:val="21"/>
        </w:rPr>
        <w:t>对水雨情历史数据库和实时数据库进行相关的设计整合，使历史数据库与实时数据库的后台查询无缝融合。</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63" w:name="_Toc440827848"/>
      <w:bookmarkStart w:id="64" w:name="_Toc10312812"/>
      <w:bookmarkStart w:id="65" w:name="_Toc500770729"/>
      <w:bookmarkStart w:id="66" w:name="_Toc17451405"/>
      <w:r>
        <w:rPr>
          <w:rFonts w:hint="eastAsia" w:asciiTheme="minorEastAsia" w:hAnsiTheme="minorEastAsia" w:eastAsiaTheme="minorEastAsia"/>
          <w:sz w:val="21"/>
          <w:szCs w:val="21"/>
        </w:rPr>
        <w:t>2.</w:t>
      </w:r>
      <w:r>
        <w:rPr>
          <w:rFonts w:asciiTheme="minorEastAsia" w:hAnsiTheme="minorEastAsia" w:eastAsiaTheme="minorEastAsia"/>
          <w:sz w:val="21"/>
          <w:szCs w:val="21"/>
        </w:rPr>
        <w:t>2</w:t>
      </w:r>
      <w:r>
        <w:rPr>
          <w:rFonts w:hint="eastAsia" w:asciiTheme="minorEastAsia" w:hAnsiTheme="minorEastAsia" w:eastAsiaTheme="minorEastAsia"/>
          <w:sz w:val="21"/>
          <w:szCs w:val="21"/>
        </w:rPr>
        <w:t>单站</w:t>
      </w:r>
      <w:bookmarkEnd w:id="63"/>
      <w:r>
        <w:rPr>
          <w:rFonts w:hint="eastAsia" w:asciiTheme="minorEastAsia" w:hAnsiTheme="minorEastAsia" w:eastAsiaTheme="minorEastAsia"/>
          <w:sz w:val="21"/>
          <w:szCs w:val="21"/>
        </w:rPr>
        <w:t>水雨情</w:t>
      </w:r>
      <w:r>
        <w:rPr>
          <w:rFonts w:asciiTheme="minorEastAsia" w:hAnsiTheme="minorEastAsia" w:eastAsiaTheme="minorEastAsia"/>
          <w:sz w:val="21"/>
          <w:szCs w:val="21"/>
        </w:rPr>
        <w:t>历史</w:t>
      </w:r>
      <w:r>
        <w:rPr>
          <w:rFonts w:hint="eastAsia" w:asciiTheme="minorEastAsia" w:hAnsiTheme="minorEastAsia" w:eastAsiaTheme="minorEastAsia"/>
          <w:sz w:val="21"/>
          <w:szCs w:val="21"/>
        </w:rPr>
        <w:t>同期</w:t>
      </w:r>
      <w:r>
        <w:rPr>
          <w:rFonts w:asciiTheme="minorEastAsia" w:hAnsiTheme="minorEastAsia" w:eastAsiaTheme="minorEastAsia"/>
          <w:sz w:val="21"/>
          <w:szCs w:val="21"/>
        </w:rPr>
        <w:t>对比</w:t>
      </w:r>
      <w:r>
        <w:rPr>
          <w:rFonts w:hint="eastAsia" w:asciiTheme="minorEastAsia" w:hAnsiTheme="minorEastAsia" w:eastAsiaTheme="minorEastAsia"/>
          <w:sz w:val="21"/>
          <w:szCs w:val="21"/>
        </w:rPr>
        <w:t>分析</w:t>
      </w:r>
      <w:bookmarkEnd w:id="64"/>
      <w:bookmarkEnd w:id="65"/>
      <w:r>
        <w:rPr>
          <w:rFonts w:hint="eastAsia" w:asciiTheme="minorEastAsia" w:hAnsiTheme="minorEastAsia" w:eastAsiaTheme="minorEastAsia"/>
          <w:sz w:val="21"/>
          <w:szCs w:val="21"/>
        </w:rPr>
        <w:t>服务</w:t>
      </w:r>
      <w:bookmarkEnd w:id="66"/>
    </w:p>
    <w:p>
      <w:pPr>
        <w:spacing w:line="360" w:lineRule="auto"/>
        <w:ind w:firstLine="424" w:firstLineChars="202"/>
        <w:rPr>
          <w:rFonts w:asciiTheme="minorEastAsia" w:hAnsiTheme="minorEastAsia"/>
          <w:szCs w:val="21"/>
        </w:rPr>
      </w:pPr>
      <w:r>
        <w:rPr>
          <w:rFonts w:hint="eastAsia" w:asciiTheme="minorEastAsia" w:hAnsiTheme="minorEastAsia"/>
          <w:szCs w:val="21"/>
        </w:rPr>
        <w:t>统计单站某一时段雨量、某一时刻水位和流量</w:t>
      </w:r>
      <w:r>
        <w:rPr>
          <w:rFonts w:asciiTheme="minorEastAsia" w:hAnsiTheme="minorEastAsia"/>
          <w:szCs w:val="21"/>
        </w:rPr>
        <w:t>等</w:t>
      </w:r>
      <w:r>
        <w:rPr>
          <w:rFonts w:hint="eastAsia" w:asciiTheme="minorEastAsia" w:hAnsiTheme="minorEastAsia"/>
          <w:szCs w:val="21"/>
        </w:rPr>
        <w:t>实时</w:t>
      </w:r>
      <w:r>
        <w:rPr>
          <w:rFonts w:asciiTheme="minorEastAsia" w:hAnsiTheme="minorEastAsia"/>
          <w:szCs w:val="21"/>
        </w:rPr>
        <w:t>数据</w:t>
      </w:r>
      <w:r>
        <w:rPr>
          <w:rFonts w:hint="eastAsia" w:asciiTheme="minorEastAsia" w:hAnsiTheme="minorEastAsia"/>
          <w:szCs w:val="21"/>
        </w:rPr>
        <w:t>，与历史同期数据进行对比分析。</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67" w:name="_Toc10312806"/>
      <w:bookmarkStart w:id="68" w:name="_Toc500770723"/>
      <w:bookmarkStart w:id="69" w:name="_Toc17451400"/>
      <w:r>
        <w:rPr>
          <w:rFonts w:hint="eastAsia" w:asciiTheme="minorEastAsia" w:hAnsiTheme="minorEastAsia" w:eastAsiaTheme="minorEastAsia"/>
          <w:sz w:val="21"/>
          <w:szCs w:val="21"/>
        </w:rPr>
        <w:t>2.</w:t>
      </w:r>
      <w:r>
        <w:rPr>
          <w:rFonts w:asciiTheme="minorEastAsia" w:hAnsiTheme="minorEastAsia" w:eastAsiaTheme="minorEastAsia"/>
          <w:sz w:val="21"/>
          <w:szCs w:val="21"/>
        </w:rPr>
        <w:t>3</w:t>
      </w:r>
      <w:r>
        <w:rPr>
          <w:rFonts w:hint="eastAsia" w:asciiTheme="minorEastAsia" w:hAnsiTheme="minorEastAsia" w:eastAsiaTheme="minorEastAsia"/>
          <w:sz w:val="21"/>
          <w:szCs w:val="21"/>
        </w:rPr>
        <w:t>历史排位分析</w:t>
      </w:r>
      <w:bookmarkEnd w:id="67"/>
      <w:bookmarkEnd w:id="68"/>
      <w:r>
        <w:rPr>
          <w:rFonts w:hint="eastAsia" w:asciiTheme="minorEastAsia" w:hAnsiTheme="minorEastAsia" w:eastAsiaTheme="minorEastAsia"/>
          <w:sz w:val="21"/>
          <w:szCs w:val="21"/>
        </w:rPr>
        <w:t>服务</w:t>
      </w:r>
      <w:bookmarkEnd w:id="69"/>
    </w:p>
    <w:p>
      <w:pPr>
        <w:spacing w:line="360" w:lineRule="auto"/>
        <w:ind w:firstLine="424" w:firstLineChars="202"/>
        <w:rPr>
          <w:rFonts w:asciiTheme="minorEastAsia" w:hAnsiTheme="minorEastAsia"/>
          <w:szCs w:val="21"/>
        </w:rPr>
      </w:pPr>
      <w:r>
        <w:rPr>
          <w:rFonts w:hint="eastAsia" w:asciiTheme="minorEastAsia" w:hAnsiTheme="minorEastAsia"/>
          <w:szCs w:val="21"/>
        </w:rPr>
        <w:t>统计分析某一时段雨量、某一时刻水位和流量、某一时段的区域面雨量等在历史上的排位及</w:t>
      </w:r>
      <w:r>
        <w:rPr>
          <w:rFonts w:asciiTheme="minorEastAsia" w:hAnsiTheme="minorEastAsia"/>
          <w:szCs w:val="21"/>
        </w:rPr>
        <w:t>前后排位的</w:t>
      </w:r>
      <w:r>
        <w:rPr>
          <w:rFonts w:hint="eastAsia" w:asciiTheme="minorEastAsia" w:hAnsiTheme="minorEastAsia"/>
          <w:szCs w:val="21"/>
        </w:rPr>
        <w:t>相关信息。</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4</w:t>
      </w:r>
      <w:r>
        <w:rPr>
          <w:rFonts w:hint="eastAsia" w:asciiTheme="minorEastAsia" w:hAnsiTheme="minorEastAsia" w:eastAsiaTheme="minorEastAsia"/>
          <w:sz w:val="21"/>
          <w:szCs w:val="21"/>
        </w:rPr>
        <w:t>单站雨量距平</w:t>
      </w:r>
      <w:r>
        <w:rPr>
          <w:rFonts w:asciiTheme="minorEastAsia" w:hAnsiTheme="minorEastAsia" w:eastAsiaTheme="minorEastAsia"/>
          <w:sz w:val="21"/>
          <w:szCs w:val="21"/>
        </w:rPr>
        <w:t>分析服务</w:t>
      </w:r>
    </w:p>
    <w:p>
      <w:pPr>
        <w:spacing w:line="360" w:lineRule="auto"/>
        <w:ind w:firstLine="424" w:firstLineChars="202"/>
        <w:rPr>
          <w:rFonts w:asciiTheme="minorEastAsia" w:hAnsiTheme="minorEastAsia"/>
          <w:szCs w:val="21"/>
        </w:rPr>
      </w:pPr>
      <w:r>
        <w:rPr>
          <w:rFonts w:hint="eastAsia" w:asciiTheme="minorEastAsia" w:hAnsiTheme="minorEastAsia"/>
          <w:szCs w:val="21"/>
        </w:rPr>
        <w:t>对某一站点任意</w:t>
      </w:r>
      <w:r>
        <w:rPr>
          <w:rFonts w:asciiTheme="minorEastAsia" w:hAnsiTheme="minorEastAsia"/>
          <w:szCs w:val="21"/>
        </w:rPr>
        <w:t>时段降雨量与多年平均</w:t>
      </w:r>
      <w:r>
        <w:rPr>
          <w:rFonts w:hint="eastAsia" w:asciiTheme="minorEastAsia" w:hAnsiTheme="minorEastAsia"/>
          <w:szCs w:val="21"/>
        </w:rPr>
        <w:t>降</w:t>
      </w:r>
      <w:r>
        <w:rPr>
          <w:rFonts w:asciiTheme="minorEastAsia" w:hAnsiTheme="minorEastAsia"/>
          <w:szCs w:val="21"/>
        </w:rPr>
        <w:t>雨量</w:t>
      </w:r>
      <w:r>
        <w:rPr>
          <w:rFonts w:hint="eastAsia" w:asciiTheme="minorEastAsia" w:hAnsiTheme="minorEastAsia"/>
          <w:szCs w:val="21"/>
        </w:rPr>
        <w:t>进行</w:t>
      </w:r>
      <w:r>
        <w:rPr>
          <w:rFonts w:asciiTheme="minorEastAsia" w:hAnsiTheme="minorEastAsia"/>
          <w:szCs w:val="21"/>
        </w:rPr>
        <w:t>距</w:t>
      </w:r>
      <w:r>
        <w:rPr>
          <w:rFonts w:hint="eastAsia" w:asciiTheme="minorEastAsia" w:hAnsiTheme="minorEastAsia"/>
          <w:szCs w:val="21"/>
        </w:rPr>
        <w:t>平</w:t>
      </w:r>
      <w:r>
        <w:rPr>
          <w:rFonts w:asciiTheme="minorEastAsia" w:hAnsiTheme="minorEastAsia"/>
          <w:szCs w:val="21"/>
        </w:rPr>
        <w:t>分析</w:t>
      </w:r>
      <w:r>
        <w:rPr>
          <w:rFonts w:hint="eastAsia" w:asciiTheme="minorEastAsia" w:hAnsiTheme="minorEastAsia"/>
          <w:szCs w:val="21"/>
        </w:rPr>
        <w:t>。</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70" w:name="_Toc440827844"/>
      <w:bookmarkStart w:id="71" w:name="_Toc10312807"/>
      <w:bookmarkStart w:id="72" w:name="_Toc500770724"/>
      <w:bookmarkStart w:id="73" w:name="_Toc17451401"/>
      <w:r>
        <w:rPr>
          <w:rFonts w:hint="eastAsia" w:asciiTheme="minorEastAsia" w:hAnsiTheme="minorEastAsia" w:eastAsiaTheme="minorEastAsia"/>
          <w:sz w:val="21"/>
          <w:szCs w:val="21"/>
        </w:rPr>
        <w:t>2.</w:t>
      </w:r>
      <w:r>
        <w:rPr>
          <w:rFonts w:asciiTheme="minorEastAsia" w:hAnsiTheme="minorEastAsia" w:eastAsiaTheme="minorEastAsia"/>
          <w:sz w:val="21"/>
          <w:szCs w:val="21"/>
        </w:rPr>
        <w:t>5</w:t>
      </w:r>
      <w:r>
        <w:rPr>
          <w:rFonts w:hint="eastAsia" w:asciiTheme="minorEastAsia" w:hAnsiTheme="minorEastAsia" w:eastAsiaTheme="minorEastAsia"/>
          <w:sz w:val="21"/>
          <w:szCs w:val="21"/>
        </w:rPr>
        <w:t>多站水文要素对比</w:t>
      </w:r>
      <w:bookmarkEnd w:id="70"/>
      <w:r>
        <w:rPr>
          <w:rFonts w:hint="eastAsia" w:asciiTheme="minorEastAsia" w:hAnsiTheme="minorEastAsia" w:eastAsiaTheme="minorEastAsia"/>
          <w:sz w:val="21"/>
          <w:szCs w:val="21"/>
        </w:rPr>
        <w:t>分析</w:t>
      </w:r>
      <w:bookmarkEnd w:id="71"/>
      <w:bookmarkEnd w:id="72"/>
      <w:r>
        <w:rPr>
          <w:rFonts w:hint="eastAsia" w:asciiTheme="minorEastAsia" w:hAnsiTheme="minorEastAsia" w:eastAsiaTheme="minorEastAsia"/>
          <w:sz w:val="21"/>
          <w:szCs w:val="21"/>
        </w:rPr>
        <w:t>服务</w:t>
      </w:r>
      <w:bookmarkEnd w:id="73"/>
    </w:p>
    <w:p>
      <w:pPr>
        <w:spacing w:line="360" w:lineRule="auto"/>
        <w:ind w:firstLine="424" w:firstLineChars="202"/>
        <w:rPr>
          <w:rFonts w:asciiTheme="minorEastAsia" w:hAnsiTheme="minorEastAsia"/>
          <w:szCs w:val="21"/>
        </w:rPr>
      </w:pPr>
      <w:r>
        <w:rPr>
          <w:rFonts w:hint="eastAsia" w:asciiTheme="minorEastAsia" w:hAnsiTheme="minorEastAsia"/>
          <w:szCs w:val="21"/>
        </w:rPr>
        <w:t>查询全市或某一流域内</w:t>
      </w:r>
      <w:r>
        <w:rPr>
          <w:rFonts w:asciiTheme="minorEastAsia" w:hAnsiTheme="minorEastAsia"/>
          <w:szCs w:val="21"/>
        </w:rPr>
        <w:t>多个</w:t>
      </w:r>
      <w:r>
        <w:rPr>
          <w:rFonts w:hint="eastAsia" w:asciiTheme="minorEastAsia" w:hAnsiTheme="minorEastAsia"/>
          <w:szCs w:val="21"/>
        </w:rPr>
        <w:t>水文站点的降水量、水位、流量等要素,分析任意时段的统计信息、过程信息等，并提供相关的数据系列过程和对比分析成果。</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74" w:name="_Toc440827845"/>
      <w:bookmarkStart w:id="75" w:name="_Toc500770726"/>
      <w:bookmarkStart w:id="76" w:name="_Toc10312809"/>
      <w:bookmarkStart w:id="77" w:name="_Toc17451402"/>
      <w:r>
        <w:rPr>
          <w:rFonts w:hint="eastAsia" w:asciiTheme="minorEastAsia" w:hAnsiTheme="minorEastAsia" w:eastAsiaTheme="minorEastAsia"/>
          <w:sz w:val="21"/>
          <w:szCs w:val="21"/>
        </w:rPr>
        <w:t>2.</w:t>
      </w:r>
      <w:r>
        <w:rPr>
          <w:rFonts w:asciiTheme="minorEastAsia" w:hAnsiTheme="minorEastAsia" w:eastAsiaTheme="minorEastAsia"/>
          <w:sz w:val="21"/>
          <w:szCs w:val="21"/>
        </w:rPr>
        <w:t>6</w:t>
      </w:r>
      <w:r>
        <w:rPr>
          <w:rFonts w:hint="eastAsia" w:asciiTheme="minorEastAsia" w:hAnsiTheme="minorEastAsia" w:eastAsiaTheme="minorEastAsia"/>
          <w:sz w:val="21"/>
          <w:szCs w:val="21"/>
        </w:rPr>
        <w:t>行政</w:t>
      </w:r>
      <w:r>
        <w:rPr>
          <w:rFonts w:asciiTheme="minorEastAsia" w:hAnsiTheme="minorEastAsia" w:eastAsiaTheme="minorEastAsia"/>
          <w:sz w:val="21"/>
          <w:szCs w:val="21"/>
        </w:rPr>
        <w:t>和流域</w:t>
      </w:r>
      <w:r>
        <w:rPr>
          <w:rFonts w:hint="eastAsia" w:asciiTheme="minorEastAsia" w:hAnsiTheme="minorEastAsia" w:eastAsiaTheme="minorEastAsia"/>
          <w:sz w:val="21"/>
          <w:szCs w:val="21"/>
        </w:rPr>
        <w:t>分区面雨量对比</w:t>
      </w:r>
      <w:bookmarkEnd w:id="74"/>
      <w:r>
        <w:rPr>
          <w:rFonts w:hint="eastAsia" w:asciiTheme="minorEastAsia" w:hAnsiTheme="minorEastAsia" w:eastAsiaTheme="minorEastAsia"/>
          <w:sz w:val="21"/>
          <w:szCs w:val="21"/>
        </w:rPr>
        <w:t>分析</w:t>
      </w:r>
      <w:bookmarkEnd w:id="75"/>
      <w:bookmarkEnd w:id="76"/>
      <w:r>
        <w:rPr>
          <w:rFonts w:hint="eastAsia" w:asciiTheme="minorEastAsia" w:hAnsiTheme="minorEastAsia" w:eastAsiaTheme="minorEastAsia"/>
          <w:sz w:val="21"/>
          <w:szCs w:val="21"/>
        </w:rPr>
        <w:t>服务</w:t>
      </w:r>
      <w:bookmarkEnd w:id="77"/>
    </w:p>
    <w:p>
      <w:pPr>
        <w:spacing w:line="360" w:lineRule="auto"/>
        <w:ind w:firstLine="424" w:firstLineChars="202"/>
        <w:rPr>
          <w:rFonts w:asciiTheme="minorEastAsia" w:hAnsiTheme="minorEastAsia"/>
          <w:szCs w:val="21"/>
        </w:rPr>
      </w:pPr>
      <w:r>
        <w:rPr>
          <w:rFonts w:hint="eastAsia" w:asciiTheme="minorEastAsia" w:hAnsiTheme="minorEastAsia"/>
          <w:szCs w:val="21"/>
        </w:rPr>
        <w:t>根据自定义的任意时间段或多个时间段，检索实时库和历史库中相关站点的雨量数据并经过面雨量平均计算，统计行政分区和</w:t>
      </w:r>
      <w:r>
        <w:rPr>
          <w:rFonts w:asciiTheme="minorEastAsia" w:hAnsiTheme="minorEastAsia"/>
          <w:szCs w:val="21"/>
        </w:rPr>
        <w:t>流域分区</w:t>
      </w:r>
      <w:r>
        <w:rPr>
          <w:rFonts w:hint="eastAsia" w:asciiTheme="minorEastAsia" w:hAnsiTheme="minorEastAsia"/>
          <w:szCs w:val="21"/>
        </w:rPr>
        <w:t>面雨量，并与历史同期对比分析，形成分区降雨同期对比分析成果。</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78" w:name="_Toc440827846"/>
      <w:bookmarkStart w:id="79" w:name="_Toc10312810"/>
      <w:bookmarkStart w:id="80" w:name="_Toc500770727"/>
      <w:bookmarkStart w:id="81" w:name="_Toc17451403"/>
      <w:r>
        <w:rPr>
          <w:rFonts w:hint="eastAsia" w:asciiTheme="minorEastAsia" w:hAnsiTheme="minorEastAsia" w:eastAsiaTheme="minorEastAsia"/>
          <w:sz w:val="21"/>
          <w:szCs w:val="21"/>
        </w:rPr>
        <w:t>2.</w:t>
      </w:r>
      <w:r>
        <w:rPr>
          <w:rFonts w:asciiTheme="minorEastAsia" w:hAnsiTheme="minorEastAsia" w:eastAsiaTheme="minorEastAsia"/>
          <w:sz w:val="21"/>
          <w:szCs w:val="21"/>
        </w:rPr>
        <w:t>7</w:t>
      </w:r>
      <w:r>
        <w:rPr>
          <w:rFonts w:hint="eastAsia" w:asciiTheme="minorEastAsia" w:hAnsiTheme="minorEastAsia" w:eastAsiaTheme="minorEastAsia"/>
          <w:sz w:val="21"/>
          <w:szCs w:val="21"/>
        </w:rPr>
        <w:t>大中型水库蓄水情况对比</w:t>
      </w:r>
      <w:bookmarkEnd w:id="78"/>
      <w:r>
        <w:rPr>
          <w:rFonts w:hint="eastAsia" w:asciiTheme="minorEastAsia" w:hAnsiTheme="minorEastAsia" w:eastAsiaTheme="minorEastAsia"/>
          <w:sz w:val="21"/>
          <w:szCs w:val="21"/>
        </w:rPr>
        <w:t>分析</w:t>
      </w:r>
      <w:bookmarkEnd w:id="79"/>
      <w:bookmarkEnd w:id="80"/>
      <w:r>
        <w:rPr>
          <w:rFonts w:hint="eastAsia" w:asciiTheme="minorEastAsia" w:hAnsiTheme="minorEastAsia" w:eastAsiaTheme="minorEastAsia"/>
          <w:sz w:val="21"/>
          <w:szCs w:val="21"/>
        </w:rPr>
        <w:t>服务</w:t>
      </w:r>
      <w:bookmarkEnd w:id="81"/>
    </w:p>
    <w:p>
      <w:pPr>
        <w:spacing w:line="360" w:lineRule="auto"/>
        <w:ind w:firstLine="424" w:firstLineChars="202"/>
        <w:rPr>
          <w:rFonts w:asciiTheme="minorEastAsia" w:hAnsiTheme="minorEastAsia"/>
          <w:szCs w:val="21"/>
        </w:rPr>
      </w:pPr>
      <w:r>
        <w:rPr>
          <w:rFonts w:hint="eastAsia" w:asciiTheme="minorEastAsia" w:hAnsiTheme="minorEastAsia"/>
          <w:szCs w:val="21"/>
        </w:rPr>
        <w:t>在实时数据库和历史数据库检索相关水库站点的实时水位数据，对全市所有大中型水库任意时间点的蓄水量、蓄水率情况进行对比分析。</w:t>
      </w:r>
      <w:bookmarkStart w:id="82" w:name="_Toc440827847"/>
      <w:bookmarkStart w:id="83" w:name="_Toc500770728"/>
      <w:bookmarkStart w:id="84" w:name="_Toc10312811"/>
      <w:bookmarkStart w:id="85" w:name="_Toc17451404"/>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8</w:t>
      </w:r>
      <w:r>
        <w:rPr>
          <w:rFonts w:hint="eastAsia" w:asciiTheme="minorEastAsia" w:hAnsiTheme="minorEastAsia" w:eastAsiaTheme="minorEastAsia"/>
          <w:sz w:val="21"/>
          <w:szCs w:val="21"/>
        </w:rPr>
        <w:t>单站年旬月日雨量对比</w:t>
      </w:r>
      <w:bookmarkEnd w:id="82"/>
      <w:r>
        <w:rPr>
          <w:rFonts w:hint="eastAsia" w:asciiTheme="minorEastAsia" w:hAnsiTheme="minorEastAsia" w:eastAsiaTheme="minorEastAsia"/>
          <w:sz w:val="21"/>
          <w:szCs w:val="21"/>
        </w:rPr>
        <w:t>分析</w:t>
      </w:r>
      <w:bookmarkEnd w:id="83"/>
      <w:bookmarkEnd w:id="84"/>
      <w:r>
        <w:rPr>
          <w:rFonts w:hint="eastAsia" w:asciiTheme="minorEastAsia" w:hAnsiTheme="minorEastAsia" w:eastAsiaTheme="minorEastAsia"/>
          <w:sz w:val="21"/>
          <w:szCs w:val="21"/>
        </w:rPr>
        <w:t>服务</w:t>
      </w:r>
      <w:bookmarkEnd w:id="85"/>
    </w:p>
    <w:p>
      <w:pPr>
        <w:spacing w:line="360" w:lineRule="auto"/>
        <w:ind w:firstLine="424" w:firstLineChars="202"/>
        <w:rPr>
          <w:rFonts w:asciiTheme="minorEastAsia" w:hAnsiTheme="minorEastAsia"/>
          <w:szCs w:val="21"/>
        </w:rPr>
      </w:pPr>
      <w:r>
        <w:rPr>
          <w:rFonts w:hint="eastAsia" w:asciiTheme="minorEastAsia" w:hAnsiTheme="minorEastAsia"/>
          <w:szCs w:val="21"/>
        </w:rPr>
        <w:t>统计全市所有雨量站点年、旬、月、日雨量，进行历年同期对比分析。</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2.</w:t>
      </w:r>
      <w:r>
        <w:rPr>
          <w:rFonts w:asciiTheme="minorEastAsia" w:hAnsiTheme="minorEastAsia" w:eastAsiaTheme="minorEastAsia"/>
          <w:sz w:val="21"/>
          <w:szCs w:val="21"/>
        </w:rPr>
        <w:t>9</w:t>
      </w:r>
      <w:r>
        <w:rPr>
          <w:rFonts w:hint="eastAsia" w:asciiTheme="minorEastAsia" w:hAnsiTheme="minorEastAsia" w:eastAsiaTheme="minorEastAsia"/>
          <w:sz w:val="21"/>
          <w:szCs w:val="21"/>
        </w:rPr>
        <w:t>流域和行政分区年旬月日面雨量对比分析服务</w:t>
      </w:r>
    </w:p>
    <w:p>
      <w:pPr>
        <w:spacing w:line="360" w:lineRule="auto"/>
        <w:ind w:firstLine="424" w:firstLineChars="202"/>
        <w:rPr>
          <w:rFonts w:asciiTheme="minorEastAsia" w:hAnsiTheme="minorEastAsia"/>
          <w:szCs w:val="21"/>
        </w:rPr>
      </w:pPr>
      <w:r>
        <w:rPr>
          <w:rFonts w:hint="eastAsia" w:asciiTheme="minorEastAsia" w:hAnsiTheme="minorEastAsia"/>
          <w:szCs w:val="21"/>
        </w:rPr>
        <w:t>统计流域分区和行政分区年、旬、月、日面雨量，进行历年同期对比分析。</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86" w:name="_Toc10312813"/>
      <w:bookmarkStart w:id="87" w:name="_Toc440827849"/>
      <w:bookmarkStart w:id="88" w:name="_Toc500770730"/>
      <w:bookmarkStart w:id="89" w:name="_Toc17451406"/>
      <w:r>
        <w:rPr>
          <w:rFonts w:hint="eastAsia" w:asciiTheme="minorEastAsia" w:hAnsiTheme="minorEastAsia" w:eastAsiaTheme="minorEastAsia"/>
          <w:sz w:val="21"/>
          <w:szCs w:val="21"/>
        </w:rPr>
        <w:t>2.</w:t>
      </w:r>
      <w:r>
        <w:rPr>
          <w:rFonts w:asciiTheme="minorEastAsia" w:hAnsiTheme="minorEastAsia" w:eastAsiaTheme="minorEastAsia"/>
          <w:sz w:val="21"/>
          <w:szCs w:val="21"/>
        </w:rPr>
        <w:t>10</w:t>
      </w:r>
      <w:r>
        <w:rPr>
          <w:rFonts w:hint="eastAsia" w:asciiTheme="minorEastAsia" w:hAnsiTheme="minorEastAsia" w:eastAsiaTheme="minorEastAsia"/>
          <w:sz w:val="21"/>
          <w:szCs w:val="21"/>
        </w:rPr>
        <w:t>单站特征值对比分析</w:t>
      </w:r>
      <w:bookmarkEnd w:id="86"/>
      <w:bookmarkEnd w:id="87"/>
      <w:bookmarkEnd w:id="88"/>
      <w:r>
        <w:rPr>
          <w:rFonts w:hint="eastAsia" w:asciiTheme="minorEastAsia" w:hAnsiTheme="minorEastAsia" w:eastAsiaTheme="minorEastAsia"/>
          <w:sz w:val="21"/>
          <w:szCs w:val="21"/>
        </w:rPr>
        <w:t>服务</w:t>
      </w:r>
      <w:bookmarkEnd w:id="89"/>
    </w:p>
    <w:p>
      <w:pPr>
        <w:spacing w:line="360" w:lineRule="auto"/>
        <w:ind w:firstLine="424" w:firstLineChars="202"/>
        <w:rPr>
          <w:rFonts w:asciiTheme="minorEastAsia" w:hAnsiTheme="minorEastAsia"/>
          <w:szCs w:val="21"/>
        </w:rPr>
      </w:pPr>
      <w:r>
        <w:rPr>
          <w:rFonts w:hint="eastAsia" w:asciiTheme="minorEastAsia" w:hAnsiTheme="minorEastAsia"/>
          <w:szCs w:val="21"/>
        </w:rPr>
        <w:t>统计单站任意时段雨量极值（1h、3h、6</w:t>
      </w:r>
      <w:r>
        <w:rPr>
          <w:rFonts w:asciiTheme="minorEastAsia" w:hAnsiTheme="minorEastAsia"/>
          <w:szCs w:val="21"/>
        </w:rPr>
        <w:t>h</w:t>
      </w:r>
      <w:r>
        <w:rPr>
          <w:rFonts w:hint="eastAsia" w:asciiTheme="minorEastAsia" w:hAnsiTheme="minorEastAsia"/>
          <w:szCs w:val="21"/>
        </w:rPr>
        <w:t>、12h、24</w:t>
      </w:r>
      <w:r>
        <w:rPr>
          <w:rFonts w:asciiTheme="minorEastAsia" w:hAnsiTheme="minorEastAsia"/>
          <w:szCs w:val="21"/>
        </w:rPr>
        <w:t>h</w:t>
      </w:r>
      <w:r>
        <w:rPr>
          <w:rFonts w:hint="eastAsia" w:asciiTheme="minorEastAsia" w:hAnsiTheme="minorEastAsia"/>
          <w:szCs w:val="21"/>
        </w:rPr>
        <w:t>、1d、3d、7d）、</w:t>
      </w:r>
      <w:r>
        <w:rPr>
          <w:rFonts w:asciiTheme="minorEastAsia" w:hAnsiTheme="minorEastAsia"/>
          <w:szCs w:val="21"/>
        </w:rPr>
        <w:t>最高水位</w:t>
      </w:r>
      <w:r>
        <w:rPr>
          <w:rFonts w:hint="eastAsia" w:asciiTheme="minorEastAsia" w:hAnsiTheme="minorEastAsia"/>
          <w:szCs w:val="21"/>
        </w:rPr>
        <w:t>、</w:t>
      </w:r>
      <w:r>
        <w:rPr>
          <w:rFonts w:asciiTheme="minorEastAsia" w:hAnsiTheme="minorEastAsia"/>
          <w:szCs w:val="21"/>
        </w:rPr>
        <w:t>最大流量</w:t>
      </w:r>
      <w:r>
        <w:rPr>
          <w:rFonts w:hint="eastAsia" w:asciiTheme="minorEastAsia" w:hAnsiTheme="minorEastAsia"/>
          <w:szCs w:val="21"/>
        </w:rPr>
        <w:t>等水雨情特征值，与该站相应历史特征值进行对比分析。</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90" w:name="_Toc440827850"/>
      <w:bookmarkStart w:id="91" w:name="_Toc500770731"/>
      <w:bookmarkStart w:id="92" w:name="_Toc10312814"/>
      <w:bookmarkStart w:id="93" w:name="_Toc17451407"/>
      <w:r>
        <w:rPr>
          <w:rFonts w:hint="eastAsia" w:asciiTheme="minorEastAsia" w:hAnsiTheme="minorEastAsia" w:eastAsiaTheme="minorEastAsia"/>
          <w:sz w:val="21"/>
          <w:szCs w:val="21"/>
        </w:rPr>
        <w:t>2.1</w:t>
      </w:r>
      <w:r>
        <w:rPr>
          <w:rFonts w:asciiTheme="minorEastAsia" w:hAnsiTheme="minorEastAsia" w:eastAsiaTheme="minorEastAsia"/>
          <w:sz w:val="21"/>
          <w:szCs w:val="21"/>
        </w:rPr>
        <w:t>1</w:t>
      </w:r>
      <w:r>
        <w:rPr>
          <w:rFonts w:hint="eastAsia" w:asciiTheme="minorEastAsia" w:hAnsiTheme="minorEastAsia" w:eastAsiaTheme="minorEastAsia"/>
          <w:sz w:val="21"/>
          <w:szCs w:val="21"/>
        </w:rPr>
        <w:t>单站历史环比同比分析</w:t>
      </w:r>
      <w:bookmarkEnd w:id="90"/>
      <w:bookmarkEnd w:id="91"/>
      <w:bookmarkEnd w:id="92"/>
      <w:r>
        <w:rPr>
          <w:rFonts w:hint="eastAsia" w:asciiTheme="minorEastAsia" w:hAnsiTheme="minorEastAsia" w:eastAsiaTheme="minorEastAsia"/>
          <w:sz w:val="21"/>
          <w:szCs w:val="21"/>
        </w:rPr>
        <w:t>服务</w:t>
      </w:r>
      <w:bookmarkEnd w:id="93"/>
    </w:p>
    <w:p>
      <w:pPr>
        <w:spacing w:line="360" w:lineRule="auto"/>
        <w:ind w:firstLine="424" w:firstLineChars="202"/>
        <w:rPr>
          <w:rFonts w:asciiTheme="minorEastAsia" w:hAnsiTheme="minorEastAsia"/>
          <w:szCs w:val="21"/>
        </w:rPr>
      </w:pPr>
      <w:r>
        <w:rPr>
          <w:rFonts w:hint="eastAsia" w:asciiTheme="minorEastAsia" w:hAnsiTheme="minorEastAsia"/>
          <w:szCs w:val="21"/>
        </w:rPr>
        <w:t>对单个站点雨量</w:t>
      </w:r>
      <w:r>
        <w:rPr>
          <w:rFonts w:asciiTheme="minorEastAsia" w:hAnsiTheme="minorEastAsia"/>
          <w:szCs w:val="21"/>
        </w:rPr>
        <w:t>、水位</w:t>
      </w:r>
      <w:r>
        <w:rPr>
          <w:rFonts w:hint="eastAsia" w:asciiTheme="minorEastAsia" w:hAnsiTheme="minorEastAsia"/>
          <w:szCs w:val="21"/>
        </w:rPr>
        <w:t>等某一时期数据进行历史年份的环比、同比对比分析（以日、旬、月、年为分析周期），计算其与历史上某一时段或历史多年平均值的差异，并计算同比增长率。</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94" w:name="_Toc500770732"/>
      <w:bookmarkStart w:id="95" w:name="_Toc10312815"/>
      <w:bookmarkStart w:id="96" w:name="_Toc440827851"/>
      <w:bookmarkStart w:id="97" w:name="_Toc17451408"/>
      <w:r>
        <w:rPr>
          <w:rFonts w:hint="eastAsia" w:asciiTheme="minorEastAsia" w:hAnsiTheme="minorEastAsia" w:eastAsiaTheme="minorEastAsia"/>
          <w:sz w:val="21"/>
          <w:szCs w:val="21"/>
        </w:rPr>
        <w:t>2.1</w:t>
      </w:r>
      <w:r>
        <w:rPr>
          <w:rFonts w:asciiTheme="minorEastAsia" w:hAnsiTheme="minorEastAsia" w:eastAsiaTheme="minorEastAsia"/>
          <w:sz w:val="21"/>
          <w:szCs w:val="21"/>
        </w:rPr>
        <w:t>2</w:t>
      </w:r>
      <w:r>
        <w:rPr>
          <w:rFonts w:hint="eastAsia" w:asciiTheme="minorEastAsia" w:hAnsiTheme="minorEastAsia" w:eastAsiaTheme="minorEastAsia"/>
          <w:sz w:val="21"/>
          <w:szCs w:val="21"/>
        </w:rPr>
        <w:t>多站历史环比同比分析</w:t>
      </w:r>
      <w:bookmarkEnd w:id="94"/>
      <w:bookmarkEnd w:id="95"/>
      <w:bookmarkEnd w:id="96"/>
      <w:r>
        <w:rPr>
          <w:rFonts w:hint="eastAsia" w:asciiTheme="minorEastAsia" w:hAnsiTheme="minorEastAsia" w:eastAsiaTheme="minorEastAsia"/>
          <w:sz w:val="21"/>
          <w:szCs w:val="21"/>
        </w:rPr>
        <w:t>服务</w:t>
      </w:r>
      <w:bookmarkEnd w:id="97"/>
    </w:p>
    <w:p>
      <w:pPr>
        <w:spacing w:line="360" w:lineRule="auto"/>
        <w:ind w:firstLine="424" w:firstLineChars="202"/>
        <w:rPr>
          <w:rFonts w:asciiTheme="minorEastAsia" w:hAnsiTheme="minorEastAsia"/>
          <w:szCs w:val="21"/>
        </w:rPr>
      </w:pPr>
      <w:r>
        <w:rPr>
          <w:rFonts w:hint="eastAsia" w:asciiTheme="minorEastAsia" w:hAnsiTheme="minorEastAsia"/>
          <w:szCs w:val="21"/>
        </w:rPr>
        <w:t>对多个选定的站点进行环比、同比分析，并分别计算相对应的距平值，形成分析成果。</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98" w:name="_Toc500770733"/>
      <w:bookmarkStart w:id="99" w:name="_Toc440827852"/>
      <w:bookmarkStart w:id="100" w:name="_Toc10312816"/>
      <w:bookmarkStart w:id="101" w:name="_Toc17451409"/>
      <w:r>
        <w:rPr>
          <w:rFonts w:hint="eastAsia" w:asciiTheme="minorEastAsia" w:hAnsiTheme="minorEastAsia" w:eastAsiaTheme="minorEastAsia"/>
          <w:sz w:val="21"/>
          <w:szCs w:val="21"/>
        </w:rPr>
        <w:t>2.1</w:t>
      </w:r>
      <w:r>
        <w:rPr>
          <w:rFonts w:asciiTheme="minorEastAsia" w:hAnsiTheme="minorEastAsia" w:eastAsiaTheme="minorEastAsia"/>
          <w:sz w:val="21"/>
          <w:szCs w:val="21"/>
        </w:rPr>
        <w:t>3</w:t>
      </w:r>
      <w:r>
        <w:rPr>
          <w:rFonts w:hint="eastAsia" w:asciiTheme="minorEastAsia" w:hAnsiTheme="minorEastAsia" w:eastAsiaTheme="minorEastAsia"/>
          <w:sz w:val="21"/>
          <w:szCs w:val="21"/>
        </w:rPr>
        <w:t>极值频率分析</w:t>
      </w:r>
      <w:bookmarkEnd w:id="98"/>
      <w:bookmarkEnd w:id="99"/>
      <w:bookmarkEnd w:id="100"/>
      <w:r>
        <w:rPr>
          <w:rFonts w:hint="eastAsia" w:asciiTheme="minorEastAsia" w:hAnsiTheme="minorEastAsia" w:eastAsiaTheme="minorEastAsia"/>
          <w:sz w:val="21"/>
          <w:szCs w:val="21"/>
        </w:rPr>
        <w:t>服务</w:t>
      </w:r>
      <w:bookmarkEnd w:id="101"/>
    </w:p>
    <w:p>
      <w:pPr>
        <w:spacing w:line="360" w:lineRule="auto"/>
        <w:ind w:firstLine="424" w:firstLineChars="202"/>
        <w:rPr>
          <w:rFonts w:asciiTheme="minorEastAsia" w:hAnsiTheme="minorEastAsia"/>
          <w:szCs w:val="21"/>
        </w:rPr>
      </w:pPr>
      <w:r>
        <w:rPr>
          <w:rFonts w:hint="eastAsia" w:asciiTheme="minorEastAsia" w:hAnsiTheme="minorEastAsia"/>
          <w:szCs w:val="21"/>
        </w:rPr>
        <w:t>根据前期计算和人工核定的水位流量频率数据、用户请求的站点和实测数据，生成最接近的频率数据，并返回分析成果。</w:t>
      </w:r>
    </w:p>
    <w:p>
      <w:pPr>
        <w:spacing w:line="360" w:lineRule="auto"/>
        <w:ind w:firstLine="424" w:firstLineChars="202"/>
        <w:rPr>
          <w:rFonts w:asciiTheme="minorEastAsia" w:hAnsiTheme="minorEastAsia"/>
          <w:szCs w:val="21"/>
        </w:rPr>
      </w:pPr>
      <w:r>
        <w:rPr>
          <w:rFonts w:hint="eastAsia" w:asciiTheme="minorEastAsia" w:hAnsiTheme="minorEastAsia"/>
          <w:szCs w:val="21"/>
        </w:rPr>
        <w:t>利用现有历史库数据，采用常规计算公式和P-Ⅲ型曲线两种方法，分析计算相应的极值频率、重现期等重要水文参数。观察结果以表格、频率直方图等形式进行表达。</w:t>
      </w:r>
    </w:p>
    <w:p>
      <w:pPr>
        <w:spacing w:line="360" w:lineRule="auto"/>
        <w:ind w:firstLine="424" w:firstLineChars="202"/>
        <w:rPr>
          <w:rFonts w:asciiTheme="minorEastAsia" w:hAnsiTheme="minorEastAsia"/>
          <w:szCs w:val="21"/>
        </w:rPr>
      </w:pPr>
      <w:r>
        <w:rPr>
          <w:rFonts w:hint="eastAsia" w:asciiTheme="minorEastAsia" w:hAnsiTheme="minorEastAsia"/>
          <w:szCs w:val="21"/>
        </w:rPr>
        <w:t xml:space="preserve">1、公式计算法 </w:t>
      </w:r>
    </w:p>
    <w:p>
      <w:pPr>
        <w:spacing w:line="360" w:lineRule="auto"/>
        <w:ind w:firstLine="424" w:firstLineChars="202"/>
        <w:rPr>
          <w:rFonts w:asciiTheme="minorEastAsia" w:hAnsiTheme="minorEastAsia"/>
          <w:szCs w:val="21"/>
        </w:rPr>
      </w:pPr>
      <w:r>
        <w:rPr>
          <w:rFonts w:hint="eastAsia" w:asciiTheme="minorEastAsia" w:hAnsiTheme="minorEastAsia"/>
          <w:szCs w:val="21"/>
        </w:rPr>
        <w:t>频率分析根据历史上的年极值系列数据（包括：单站年最高水位、单站时段最大雨量、单站年降雨量），对于给定的Cv、Cs、Ex数值，使用图表组件绘制出对应的频率分析曲线，方便查询要素值出现的频率。</w:t>
      </w:r>
    </w:p>
    <w:p>
      <w:pPr>
        <w:spacing w:line="360" w:lineRule="auto"/>
        <w:ind w:firstLine="424" w:firstLineChars="202"/>
        <w:rPr>
          <w:rFonts w:asciiTheme="minorEastAsia" w:hAnsiTheme="minorEastAsia"/>
          <w:szCs w:val="21"/>
        </w:rPr>
      </w:pPr>
      <w:r>
        <w:rPr>
          <w:rFonts w:hint="eastAsia" w:asciiTheme="minorEastAsia" w:hAnsiTheme="minorEastAsia"/>
          <w:szCs w:val="21"/>
        </w:rPr>
        <w:t>2、P-Ⅲ型曲线</w:t>
      </w:r>
    </w:p>
    <w:p>
      <w:pPr>
        <w:spacing w:line="360" w:lineRule="auto"/>
        <w:ind w:firstLine="424" w:firstLineChars="202"/>
        <w:rPr>
          <w:rFonts w:asciiTheme="minorEastAsia" w:hAnsiTheme="minorEastAsia"/>
          <w:szCs w:val="21"/>
        </w:rPr>
      </w:pPr>
      <w:r>
        <w:rPr>
          <w:rFonts w:hint="eastAsia" w:asciiTheme="minorEastAsia" w:hAnsiTheme="minorEastAsia"/>
          <w:szCs w:val="21"/>
        </w:rPr>
        <w:t>添加P-Ⅲ型曲线绘制控件，从</w:t>
      </w:r>
      <w:r>
        <w:rPr>
          <w:rFonts w:asciiTheme="minorEastAsia" w:hAnsiTheme="minorEastAsia"/>
          <w:szCs w:val="21"/>
        </w:rPr>
        <w:t>数据库中</w:t>
      </w:r>
      <w:r>
        <w:rPr>
          <w:rFonts w:hint="eastAsia" w:asciiTheme="minorEastAsia" w:hAnsiTheme="minorEastAsia"/>
          <w:szCs w:val="21"/>
        </w:rPr>
        <w:t>调用年最高水位、年最大流量、历年时段最大雨量、年降雨量等数据，通过手动绘制频率分析曲线，查询要素出现的频率，或根据频率查询要素值。</w:t>
      </w:r>
    </w:p>
    <w:p>
      <w:pPr>
        <w:pStyle w:val="4"/>
        <w:widowControl/>
        <w:numPr>
          <w:ilvl w:val="1"/>
          <w:numId w:val="0"/>
        </w:numPr>
        <w:adjustRightInd/>
        <w:spacing w:line="360" w:lineRule="auto"/>
        <w:ind w:left="576" w:hanging="576"/>
        <w:jc w:val="both"/>
        <w:rPr>
          <w:rFonts w:asciiTheme="minorEastAsia" w:hAnsiTheme="minorEastAsia" w:eastAsiaTheme="minorEastAsia"/>
          <w:sz w:val="21"/>
          <w:szCs w:val="21"/>
        </w:rPr>
      </w:pPr>
      <w:bookmarkStart w:id="102" w:name="_Toc17451410"/>
      <w:bookmarkStart w:id="103" w:name="_Toc23154227"/>
      <w:r>
        <w:rPr>
          <w:rFonts w:hint="eastAsia" w:asciiTheme="minorEastAsia" w:hAnsiTheme="minorEastAsia" w:eastAsiaTheme="minorEastAsia"/>
          <w:sz w:val="21"/>
          <w:szCs w:val="21"/>
        </w:rPr>
        <w:t>三、降雨空间分布分析动态展示及共享服务</w:t>
      </w:r>
      <w:bookmarkEnd w:id="102"/>
      <w:bookmarkEnd w:id="103"/>
    </w:p>
    <w:p>
      <w:pPr>
        <w:spacing w:line="360" w:lineRule="auto"/>
        <w:ind w:firstLine="424" w:firstLineChars="202"/>
        <w:rPr>
          <w:rFonts w:asciiTheme="minorEastAsia" w:hAnsiTheme="minorEastAsia"/>
          <w:szCs w:val="21"/>
        </w:rPr>
      </w:pPr>
      <w:r>
        <w:rPr>
          <w:rFonts w:hint="eastAsia" w:asciiTheme="minorEastAsia" w:hAnsiTheme="minorEastAsia"/>
          <w:szCs w:val="21"/>
        </w:rPr>
        <w:t>根据</w:t>
      </w:r>
      <w:r>
        <w:rPr>
          <w:rFonts w:asciiTheme="minorEastAsia" w:hAnsiTheme="minorEastAsia"/>
          <w:szCs w:val="21"/>
        </w:rPr>
        <w:t>选定</w:t>
      </w:r>
      <w:r>
        <w:rPr>
          <w:rFonts w:hint="eastAsia" w:asciiTheme="minorEastAsia" w:hAnsiTheme="minorEastAsia"/>
          <w:szCs w:val="21"/>
        </w:rPr>
        <w:t>遥测站点雨量数据进行空间分析计算，并按流域分区或行政分区生成降雨空间分布图，直观展示全市范围内降雨的分布情况。提供系列化的降雨空间分布图，并能够按时间序列播放降雨空间分布图，展现雨带的移动情况。</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04" w:name="_Toc17451411"/>
      <w:r>
        <w:rPr>
          <w:rFonts w:hint="eastAsia" w:asciiTheme="minorEastAsia" w:hAnsiTheme="minorEastAsia" w:eastAsiaTheme="minorEastAsia"/>
          <w:sz w:val="21"/>
          <w:szCs w:val="21"/>
        </w:rPr>
        <w:t>3.1水文站网空间分布智能分析</w:t>
      </w:r>
      <w:bookmarkEnd w:id="104"/>
    </w:p>
    <w:p>
      <w:pPr>
        <w:spacing w:line="360" w:lineRule="auto"/>
        <w:ind w:firstLine="424" w:firstLineChars="202"/>
        <w:rPr>
          <w:rFonts w:asciiTheme="minorEastAsia" w:hAnsiTheme="minorEastAsia"/>
          <w:szCs w:val="21"/>
        </w:rPr>
      </w:pPr>
      <w:r>
        <w:rPr>
          <w:rFonts w:hint="eastAsia" w:asciiTheme="minorEastAsia" w:hAnsiTheme="minorEastAsia"/>
          <w:szCs w:val="21"/>
        </w:rPr>
        <w:t>综合考虑雨量站点（包括水文、气象站点）的雨量大小、空间位置、站点</w:t>
      </w:r>
      <w:r>
        <w:rPr>
          <w:rFonts w:asciiTheme="minorEastAsia" w:hAnsiTheme="minorEastAsia"/>
          <w:szCs w:val="21"/>
        </w:rPr>
        <w:t>重要性</w:t>
      </w:r>
      <w:r>
        <w:rPr>
          <w:rFonts w:hint="eastAsia" w:asciiTheme="minorEastAsia" w:hAnsiTheme="minorEastAsia"/>
          <w:szCs w:val="21"/>
        </w:rPr>
        <w:t>、</w:t>
      </w:r>
      <w:r>
        <w:rPr>
          <w:rFonts w:asciiTheme="minorEastAsia" w:hAnsiTheme="minorEastAsia"/>
          <w:szCs w:val="21"/>
        </w:rPr>
        <w:t>历史</w:t>
      </w:r>
      <w:r>
        <w:rPr>
          <w:rFonts w:hint="eastAsia" w:asciiTheme="minorEastAsia" w:hAnsiTheme="minorEastAsia"/>
          <w:szCs w:val="21"/>
        </w:rPr>
        <w:t>资料质量</w:t>
      </w:r>
      <w:r>
        <w:rPr>
          <w:rFonts w:asciiTheme="minorEastAsia" w:hAnsiTheme="minorEastAsia"/>
          <w:szCs w:val="21"/>
        </w:rPr>
        <w:t>和系列长度</w:t>
      </w:r>
      <w:r>
        <w:rPr>
          <w:rFonts w:hint="eastAsia" w:asciiTheme="minorEastAsia" w:hAnsiTheme="minorEastAsia"/>
          <w:szCs w:val="21"/>
        </w:rPr>
        <w:t>，并结合系统设定的相关参数，确认最优参与计算的雨量站点，保证参与计算站点分布的合理性。</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05" w:name="_Toc17451412"/>
      <w:r>
        <w:rPr>
          <w:rFonts w:hint="eastAsia" w:asciiTheme="minorEastAsia" w:hAnsiTheme="minorEastAsia" w:eastAsiaTheme="minorEastAsia"/>
          <w:sz w:val="21"/>
          <w:szCs w:val="21"/>
        </w:rPr>
        <w:t>3.2降雨分布图分析及展示</w:t>
      </w:r>
      <w:bookmarkEnd w:id="105"/>
    </w:p>
    <w:p>
      <w:pPr>
        <w:spacing w:line="360" w:lineRule="auto"/>
        <w:ind w:firstLine="424" w:firstLineChars="202"/>
        <w:rPr>
          <w:rFonts w:asciiTheme="minorEastAsia" w:hAnsiTheme="minorEastAsia"/>
          <w:szCs w:val="21"/>
        </w:rPr>
      </w:pPr>
      <w:r>
        <w:rPr>
          <w:rFonts w:hint="eastAsia" w:asciiTheme="minorEastAsia" w:hAnsiTheme="minorEastAsia"/>
          <w:szCs w:val="21"/>
        </w:rPr>
        <w:t>根据用户设定的时间段，生成该时段参与计算的站点及其对应</w:t>
      </w:r>
      <w:r>
        <w:rPr>
          <w:rFonts w:asciiTheme="minorEastAsia" w:hAnsiTheme="minorEastAsia"/>
          <w:szCs w:val="21"/>
        </w:rPr>
        <w:t>的</w:t>
      </w:r>
      <w:r>
        <w:rPr>
          <w:rFonts w:hint="eastAsia" w:asciiTheme="minorEastAsia" w:hAnsiTheme="minorEastAsia"/>
          <w:szCs w:val="21"/>
        </w:rPr>
        <w:t>雨量值，用户可以对返回的雨量列表进行查看，并对站点进行二次选择。用户确认参与计算的站点，并设定雨量级别后，可绘制等值面或等值线图，同时计算出各个级别的降雨笼罩面积和</w:t>
      </w:r>
      <w:r>
        <w:rPr>
          <w:rFonts w:asciiTheme="minorEastAsia" w:hAnsiTheme="minorEastAsia"/>
          <w:szCs w:val="21"/>
        </w:rPr>
        <w:t>累计笼罩面积</w:t>
      </w:r>
      <w:r>
        <w:rPr>
          <w:rFonts w:hint="eastAsia" w:asciiTheme="minorEastAsia" w:hAnsiTheme="minorEastAsia"/>
          <w:szCs w:val="21"/>
        </w:rPr>
        <w:t>。</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06" w:name="_Toc17451414"/>
      <w:r>
        <w:rPr>
          <w:rFonts w:hint="eastAsia" w:asciiTheme="minorEastAsia" w:hAnsiTheme="minorEastAsia" w:eastAsiaTheme="minorEastAsia"/>
          <w:sz w:val="21"/>
          <w:szCs w:val="21"/>
        </w:rPr>
        <w:t>3.3逐时段降雨分布图分析及动态播放</w:t>
      </w:r>
      <w:bookmarkEnd w:id="106"/>
    </w:p>
    <w:p>
      <w:pPr>
        <w:spacing w:line="360" w:lineRule="auto"/>
        <w:ind w:firstLine="424" w:firstLineChars="202"/>
        <w:rPr>
          <w:rFonts w:asciiTheme="minorEastAsia" w:hAnsiTheme="minorEastAsia"/>
          <w:szCs w:val="21"/>
        </w:rPr>
      </w:pPr>
      <w:r>
        <w:rPr>
          <w:rFonts w:hint="eastAsia" w:asciiTheme="minorEastAsia" w:hAnsiTheme="minorEastAsia"/>
          <w:szCs w:val="21"/>
        </w:rPr>
        <w:t>用户通过选择任意时段，系统列出选定时段内逐时</w:t>
      </w:r>
      <w:r>
        <w:rPr>
          <w:rFonts w:asciiTheme="minorEastAsia" w:hAnsiTheme="minorEastAsia"/>
          <w:szCs w:val="21"/>
        </w:rPr>
        <w:t>或逐日</w:t>
      </w:r>
      <w:r>
        <w:rPr>
          <w:rFonts w:hint="eastAsia" w:asciiTheme="minorEastAsia" w:hAnsiTheme="minorEastAsia"/>
          <w:szCs w:val="21"/>
        </w:rPr>
        <w:t>雨量分布图，并对时段内的各雨量分布进行动态滚动播放，直观展现雨带的移动情况和雨区的扩散情况。</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07" w:name="_Toc17451415"/>
      <w:r>
        <w:rPr>
          <w:rFonts w:hint="eastAsia" w:asciiTheme="minorEastAsia" w:hAnsiTheme="minorEastAsia" w:eastAsiaTheme="minorEastAsia"/>
          <w:sz w:val="21"/>
          <w:szCs w:val="21"/>
        </w:rPr>
        <w:t>3.4场次降雨分布图分析及动态播放</w:t>
      </w:r>
      <w:bookmarkEnd w:id="107"/>
    </w:p>
    <w:p>
      <w:pPr>
        <w:spacing w:line="360" w:lineRule="auto"/>
        <w:ind w:firstLine="424" w:firstLineChars="202"/>
        <w:rPr>
          <w:rFonts w:asciiTheme="minorEastAsia" w:hAnsiTheme="minorEastAsia"/>
          <w:szCs w:val="21"/>
        </w:rPr>
      </w:pPr>
      <w:r>
        <w:rPr>
          <w:rFonts w:hint="eastAsia" w:asciiTheme="minorEastAsia" w:hAnsiTheme="minorEastAsia"/>
          <w:szCs w:val="21"/>
        </w:rPr>
        <w:t>通过配置的各历史场次洪水基本信息（场次信息包括场次洪水时间、场次名称、场次总雨量等），生成各场降雨的逐时段降雨分布图和累计降雨过程图，系统提供逐时段降雨分布和累计降雨分布的选择功能，对降雨分布序列图进行动态滚动播放显示。</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08" w:name="_Toc17451417"/>
      <w:r>
        <w:rPr>
          <w:rFonts w:hint="eastAsia" w:asciiTheme="minorEastAsia" w:hAnsiTheme="minorEastAsia" w:eastAsiaTheme="minorEastAsia"/>
          <w:sz w:val="21"/>
          <w:szCs w:val="21"/>
        </w:rPr>
        <w:t>3.5降雨空间分布成果共享服务</w:t>
      </w:r>
      <w:bookmarkEnd w:id="108"/>
    </w:p>
    <w:p>
      <w:pPr>
        <w:spacing w:line="360" w:lineRule="auto"/>
        <w:ind w:firstLine="424" w:firstLineChars="202"/>
        <w:rPr>
          <w:rFonts w:asciiTheme="minorEastAsia" w:hAnsiTheme="minorEastAsia"/>
          <w:szCs w:val="21"/>
        </w:rPr>
      </w:pPr>
      <w:r>
        <w:rPr>
          <w:rFonts w:hint="eastAsia" w:asciiTheme="minorEastAsia" w:hAnsiTheme="minorEastAsia"/>
          <w:szCs w:val="21"/>
        </w:rPr>
        <w:t>系统需提供降雨空间分布成果共享服务，各个终端和应用通过该服务可获取降雨空间分布信息。</w:t>
      </w:r>
    </w:p>
    <w:p>
      <w:pPr>
        <w:pStyle w:val="4"/>
        <w:widowControl/>
        <w:numPr>
          <w:ilvl w:val="1"/>
          <w:numId w:val="0"/>
        </w:numPr>
        <w:adjustRightInd/>
        <w:spacing w:line="360" w:lineRule="auto"/>
        <w:ind w:left="576" w:hanging="576"/>
        <w:jc w:val="both"/>
        <w:rPr>
          <w:rFonts w:asciiTheme="minorEastAsia" w:hAnsiTheme="minorEastAsia" w:eastAsiaTheme="minorEastAsia"/>
          <w:sz w:val="21"/>
          <w:szCs w:val="21"/>
        </w:rPr>
      </w:pPr>
      <w:bookmarkStart w:id="109" w:name="_Toc17451418"/>
      <w:bookmarkStart w:id="110" w:name="_Toc23154228"/>
      <w:r>
        <w:rPr>
          <w:rFonts w:hint="eastAsia" w:asciiTheme="minorEastAsia" w:hAnsiTheme="minorEastAsia" w:eastAsiaTheme="minorEastAsia"/>
          <w:sz w:val="21"/>
          <w:szCs w:val="21"/>
        </w:rPr>
        <w:t>四、水雨情信息综合展示</w:t>
      </w:r>
      <w:bookmarkEnd w:id="109"/>
      <w:bookmarkEnd w:id="110"/>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基于“一张图”分别通过宏观和分区综合展示全市范围内的水雨情监测预报预警信息，包括水雨情</w:t>
      </w:r>
      <w:r>
        <w:rPr>
          <w:rFonts w:cs="仿宋_GB2312" w:asciiTheme="minorEastAsia" w:hAnsiTheme="minorEastAsia" w:eastAsiaTheme="minorEastAsia"/>
          <w:sz w:val="21"/>
          <w:szCs w:val="21"/>
        </w:rPr>
        <w:t>预警信息、</w:t>
      </w:r>
      <w:r>
        <w:rPr>
          <w:rFonts w:hint="eastAsia" w:cs="仿宋_GB2312" w:asciiTheme="minorEastAsia" w:hAnsiTheme="minorEastAsia" w:eastAsiaTheme="minorEastAsia"/>
          <w:sz w:val="21"/>
          <w:szCs w:val="21"/>
        </w:rPr>
        <w:t>流域和</w:t>
      </w:r>
      <w:r>
        <w:rPr>
          <w:rFonts w:cs="仿宋_GB2312" w:asciiTheme="minorEastAsia" w:hAnsiTheme="minorEastAsia" w:eastAsiaTheme="minorEastAsia"/>
          <w:sz w:val="21"/>
          <w:szCs w:val="21"/>
        </w:rPr>
        <w:t>行政</w:t>
      </w:r>
      <w:r>
        <w:rPr>
          <w:rFonts w:hint="eastAsia" w:cs="仿宋_GB2312" w:asciiTheme="minorEastAsia" w:hAnsiTheme="minorEastAsia" w:eastAsiaTheme="minorEastAsia"/>
          <w:sz w:val="21"/>
          <w:szCs w:val="21"/>
        </w:rPr>
        <w:t>分区面雨量、重要</w:t>
      </w:r>
      <w:r>
        <w:rPr>
          <w:rFonts w:cs="仿宋_GB2312" w:asciiTheme="minorEastAsia" w:hAnsiTheme="minorEastAsia" w:eastAsiaTheme="minorEastAsia"/>
          <w:sz w:val="21"/>
          <w:szCs w:val="21"/>
        </w:rPr>
        <w:t>站点水位流量、</w:t>
      </w:r>
      <w:r>
        <w:rPr>
          <w:rFonts w:hint="eastAsia" w:cs="仿宋_GB2312" w:asciiTheme="minorEastAsia" w:hAnsiTheme="minorEastAsia" w:eastAsiaTheme="minorEastAsia"/>
          <w:sz w:val="21"/>
          <w:szCs w:val="21"/>
        </w:rPr>
        <w:t>水库蓄水、水情分析成果信息以及气象信息等。</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1" w:name="_Toc17451419"/>
      <w:r>
        <w:rPr>
          <w:rFonts w:hint="eastAsia" w:asciiTheme="minorEastAsia" w:hAnsiTheme="minorEastAsia" w:eastAsiaTheme="minorEastAsia"/>
          <w:sz w:val="21"/>
          <w:szCs w:val="21"/>
        </w:rPr>
        <w:t>4.1水雨情预警</w:t>
      </w:r>
      <w:bookmarkEnd w:id="111"/>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以醒目的方式列出各类站点的超警戒情况，包括雨量超警、水库水位超汛限、河道水位超警戒、潮水位超警戒等情况，并在地图上以不同的图标分级显示；用户点击各类站点条目时，列出超警超限站点列表，移动到该站点时，在地图上显示该站点的水雨情信息。预警规则</w:t>
      </w:r>
      <w:r>
        <w:rPr>
          <w:rFonts w:cs="仿宋_GB2312" w:asciiTheme="minorEastAsia" w:hAnsiTheme="minorEastAsia" w:eastAsiaTheme="minorEastAsia"/>
          <w:sz w:val="21"/>
          <w:szCs w:val="21"/>
        </w:rPr>
        <w:t>配置</w:t>
      </w:r>
      <w:r>
        <w:rPr>
          <w:rFonts w:hint="eastAsia" w:cs="仿宋_GB2312" w:asciiTheme="minorEastAsia" w:hAnsiTheme="minorEastAsia" w:eastAsiaTheme="minorEastAsia"/>
          <w:sz w:val="21"/>
          <w:szCs w:val="21"/>
        </w:rPr>
        <w:t>需要一定扩展性，可</w:t>
      </w:r>
      <w:r>
        <w:rPr>
          <w:rFonts w:cs="仿宋_GB2312" w:asciiTheme="minorEastAsia" w:hAnsiTheme="minorEastAsia" w:eastAsiaTheme="minorEastAsia"/>
          <w:sz w:val="21"/>
          <w:szCs w:val="21"/>
        </w:rPr>
        <w:t>人工</w:t>
      </w:r>
      <w:r>
        <w:rPr>
          <w:rFonts w:hint="eastAsia" w:cs="仿宋_GB2312" w:asciiTheme="minorEastAsia" w:hAnsiTheme="minorEastAsia" w:eastAsiaTheme="minorEastAsia"/>
          <w:sz w:val="21"/>
          <w:szCs w:val="21"/>
        </w:rPr>
        <w:t>调整规则。</w:t>
      </w:r>
    </w:p>
    <w:p>
      <w:pPr>
        <w:spacing w:line="360" w:lineRule="auto"/>
        <w:ind w:firstLine="426" w:firstLineChars="202"/>
        <w:rPr>
          <w:rFonts w:asciiTheme="minorEastAsia" w:hAnsiTheme="minorEastAsia"/>
          <w:b/>
          <w:szCs w:val="21"/>
        </w:rPr>
      </w:pPr>
      <w:r>
        <w:rPr>
          <w:rFonts w:hint="eastAsia" w:asciiTheme="minorEastAsia" w:hAnsiTheme="minorEastAsia"/>
          <w:b/>
          <w:szCs w:val="21"/>
        </w:rPr>
        <w:t>（1）雨量预警</w:t>
      </w:r>
    </w:p>
    <w:p>
      <w:pPr>
        <w:spacing w:line="360" w:lineRule="auto"/>
        <w:ind w:firstLine="424" w:firstLineChars="202"/>
        <w:rPr>
          <w:rFonts w:asciiTheme="minorEastAsia" w:hAnsiTheme="minorEastAsia"/>
          <w:szCs w:val="21"/>
        </w:rPr>
      </w:pPr>
      <w:r>
        <w:rPr>
          <w:rFonts w:hint="eastAsia" w:asciiTheme="minorEastAsia" w:hAnsiTheme="minorEastAsia"/>
          <w:szCs w:val="21"/>
        </w:rPr>
        <w:t>根据用户设置的雨量预警标准，进行预警。</w:t>
      </w:r>
    </w:p>
    <w:p>
      <w:pPr>
        <w:spacing w:line="360" w:lineRule="auto"/>
        <w:ind w:firstLine="426" w:firstLineChars="202"/>
        <w:rPr>
          <w:rFonts w:asciiTheme="minorEastAsia" w:hAnsiTheme="minorEastAsia"/>
          <w:b/>
          <w:szCs w:val="21"/>
        </w:rPr>
      </w:pPr>
      <w:r>
        <w:rPr>
          <w:rFonts w:hint="eastAsia" w:asciiTheme="minorEastAsia" w:hAnsiTheme="minorEastAsia"/>
          <w:b/>
          <w:szCs w:val="21"/>
        </w:rPr>
        <w:t>（</w:t>
      </w:r>
      <w:r>
        <w:rPr>
          <w:rFonts w:asciiTheme="minorEastAsia" w:hAnsiTheme="minorEastAsia"/>
          <w:b/>
          <w:szCs w:val="21"/>
        </w:rPr>
        <w:t>2</w:t>
      </w:r>
      <w:r>
        <w:rPr>
          <w:rFonts w:hint="eastAsia" w:asciiTheme="minorEastAsia" w:hAnsiTheme="minorEastAsia"/>
          <w:b/>
          <w:szCs w:val="21"/>
        </w:rPr>
        <w:t>）江河预警</w:t>
      </w:r>
    </w:p>
    <w:p>
      <w:pPr>
        <w:spacing w:line="360" w:lineRule="auto"/>
        <w:ind w:firstLine="424" w:firstLineChars="202"/>
        <w:rPr>
          <w:rFonts w:asciiTheme="minorEastAsia" w:hAnsiTheme="minorEastAsia"/>
          <w:szCs w:val="21"/>
        </w:rPr>
      </w:pPr>
      <w:r>
        <w:rPr>
          <w:rFonts w:hint="eastAsia" w:asciiTheme="minorEastAsia" w:hAnsiTheme="minorEastAsia"/>
          <w:szCs w:val="21"/>
        </w:rPr>
        <w:t>根据《浙江省洪水预警发布管理办法（试行）》和《杭州市洪水预警发布管理办法（试行）》的</w:t>
      </w:r>
      <w:r>
        <w:rPr>
          <w:rFonts w:asciiTheme="minorEastAsia" w:hAnsiTheme="minorEastAsia"/>
          <w:szCs w:val="21"/>
        </w:rPr>
        <w:t>要求</w:t>
      </w:r>
      <w:r>
        <w:rPr>
          <w:rFonts w:hint="eastAsia" w:asciiTheme="minorEastAsia" w:hAnsiTheme="minorEastAsia"/>
          <w:szCs w:val="21"/>
        </w:rPr>
        <w:t>，自动生成市级</w:t>
      </w:r>
      <w:r>
        <w:rPr>
          <w:rFonts w:asciiTheme="minorEastAsia" w:hAnsiTheme="minorEastAsia"/>
          <w:szCs w:val="21"/>
        </w:rPr>
        <w:t>预警站点的</w:t>
      </w:r>
      <w:r>
        <w:rPr>
          <w:rFonts w:hint="eastAsia" w:asciiTheme="minorEastAsia" w:hAnsiTheme="minorEastAsia"/>
          <w:szCs w:val="21"/>
        </w:rPr>
        <w:t>洪水预警单，并</w:t>
      </w:r>
      <w:r>
        <w:rPr>
          <w:rFonts w:asciiTheme="minorEastAsia" w:hAnsiTheme="minorEastAsia"/>
          <w:szCs w:val="21"/>
        </w:rPr>
        <w:t>分级</w:t>
      </w:r>
      <w:r>
        <w:rPr>
          <w:rFonts w:hint="eastAsia" w:asciiTheme="minorEastAsia" w:hAnsiTheme="minorEastAsia"/>
          <w:szCs w:val="21"/>
        </w:rPr>
        <w:t>展示省、市</w:t>
      </w:r>
      <w:r>
        <w:rPr>
          <w:rFonts w:asciiTheme="minorEastAsia" w:hAnsiTheme="minorEastAsia"/>
          <w:szCs w:val="21"/>
        </w:rPr>
        <w:t>、县</w:t>
      </w:r>
      <w:r>
        <w:rPr>
          <w:rFonts w:hint="eastAsia" w:asciiTheme="minorEastAsia" w:hAnsiTheme="minorEastAsia"/>
          <w:szCs w:val="21"/>
        </w:rPr>
        <w:t>三</w:t>
      </w:r>
      <w:r>
        <w:rPr>
          <w:rFonts w:asciiTheme="minorEastAsia" w:hAnsiTheme="minorEastAsia"/>
          <w:szCs w:val="21"/>
        </w:rPr>
        <w:t>级</w:t>
      </w:r>
      <w:r>
        <w:rPr>
          <w:rFonts w:hint="eastAsia" w:asciiTheme="minorEastAsia" w:hAnsiTheme="minorEastAsia"/>
          <w:szCs w:val="21"/>
        </w:rPr>
        <w:t>发布的洪水预警信息。</w:t>
      </w:r>
    </w:p>
    <w:p>
      <w:pPr>
        <w:spacing w:line="360" w:lineRule="auto"/>
        <w:ind w:firstLine="424" w:firstLineChars="202"/>
        <w:rPr>
          <w:rFonts w:asciiTheme="minorEastAsia" w:hAnsiTheme="minorEastAsia"/>
          <w:szCs w:val="21"/>
        </w:rPr>
      </w:pPr>
      <w:r>
        <w:rPr>
          <w:rFonts w:hint="eastAsia" w:asciiTheme="minorEastAsia" w:hAnsiTheme="minorEastAsia"/>
          <w:szCs w:val="21"/>
        </w:rPr>
        <w:t>洪水期，主要</w:t>
      </w:r>
      <w:r>
        <w:rPr>
          <w:rFonts w:asciiTheme="minorEastAsia" w:hAnsiTheme="minorEastAsia"/>
          <w:szCs w:val="21"/>
        </w:rPr>
        <w:t>江河控制站点</w:t>
      </w:r>
      <w:r>
        <w:rPr>
          <w:rFonts w:hint="eastAsia" w:asciiTheme="minorEastAsia" w:hAnsiTheme="minorEastAsia"/>
          <w:szCs w:val="21"/>
        </w:rPr>
        <w:t>水位达到警戒水位、超过警戒水位且预报将达到保证水位、超过保证水位、超过20年一遇水位发预警和短信。</w:t>
      </w:r>
    </w:p>
    <w:p>
      <w:pPr>
        <w:spacing w:line="360" w:lineRule="auto"/>
        <w:ind w:firstLine="426" w:firstLineChars="202"/>
        <w:rPr>
          <w:rFonts w:asciiTheme="minorEastAsia" w:hAnsiTheme="minorEastAsia"/>
          <w:b/>
          <w:szCs w:val="21"/>
        </w:rPr>
      </w:pPr>
      <w:r>
        <w:rPr>
          <w:rFonts w:hint="eastAsia" w:asciiTheme="minorEastAsia" w:hAnsiTheme="minorEastAsia"/>
          <w:b/>
          <w:szCs w:val="21"/>
        </w:rPr>
        <w:t>（</w:t>
      </w:r>
      <w:r>
        <w:rPr>
          <w:rFonts w:asciiTheme="minorEastAsia" w:hAnsiTheme="minorEastAsia"/>
          <w:b/>
          <w:szCs w:val="21"/>
        </w:rPr>
        <w:t>3</w:t>
      </w:r>
      <w:r>
        <w:rPr>
          <w:rFonts w:hint="eastAsia" w:asciiTheme="minorEastAsia" w:hAnsiTheme="minorEastAsia"/>
          <w:b/>
          <w:szCs w:val="21"/>
        </w:rPr>
        <w:t>）湖库预警</w:t>
      </w:r>
    </w:p>
    <w:p>
      <w:pPr>
        <w:spacing w:line="360" w:lineRule="auto"/>
        <w:ind w:firstLine="424" w:firstLineChars="202"/>
        <w:rPr>
          <w:rFonts w:asciiTheme="minorEastAsia" w:hAnsiTheme="minorEastAsia"/>
          <w:szCs w:val="21"/>
        </w:rPr>
      </w:pPr>
      <w:r>
        <w:rPr>
          <w:rFonts w:hint="eastAsia" w:asciiTheme="minorEastAsia" w:hAnsiTheme="minorEastAsia"/>
          <w:szCs w:val="21"/>
        </w:rPr>
        <w:t>水库</w:t>
      </w:r>
      <w:r>
        <w:rPr>
          <w:rFonts w:asciiTheme="minorEastAsia" w:hAnsiTheme="minorEastAsia"/>
          <w:szCs w:val="21"/>
        </w:rPr>
        <w:t>水位</w:t>
      </w:r>
      <w:r>
        <w:rPr>
          <w:rFonts w:hint="eastAsia" w:asciiTheme="minorEastAsia" w:hAnsiTheme="minorEastAsia"/>
          <w:szCs w:val="21"/>
        </w:rPr>
        <w:t>超汛限水位时，</w:t>
      </w:r>
      <w:r>
        <w:rPr>
          <w:rFonts w:asciiTheme="minorEastAsia" w:hAnsiTheme="minorEastAsia"/>
          <w:szCs w:val="21"/>
        </w:rPr>
        <w:t>自动</w:t>
      </w:r>
      <w:r>
        <w:rPr>
          <w:rFonts w:hint="eastAsia" w:asciiTheme="minorEastAsia" w:hAnsiTheme="minorEastAsia"/>
          <w:szCs w:val="21"/>
        </w:rPr>
        <w:t>生成预警通知单和短信。</w:t>
      </w:r>
    </w:p>
    <w:p>
      <w:pPr>
        <w:spacing w:line="360" w:lineRule="auto"/>
        <w:ind w:firstLine="424" w:firstLineChars="202"/>
        <w:rPr>
          <w:rFonts w:asciiTheme="minorEastAsia" w:hAnsiTheme="minorEastAsia"/>
          <w:szCs w:val="21"/>
        </w:rPr>
      </w:pPr>
      <w:r>
        <w:rPr>
          <w:rFonts w:hint="eastAsia" w:asciiTheme="minorEastAsia" w:hAnsiTheme="minorEastAsia"/>
          <w:szCs w:val="21"/>
        </w:rPr>
        <w:t>水库高水位预警：水位超过防洪</w:t>
      </w:r>
      <w:r>
        <w:rPr>
          <w:rFonts w:asciiTheme="minorEastAsia" w:hAnsiTheme="minorEastAsia"/>
          <w:szCs w:val="21"/>
        </w:rPr>
        <w:t>高水位、</w:t>
      </w:r>
      <w:r>
        <w:rPr>
          <w:rFonts w:hint="eastAsia" w:asciiTheme="minorEastAsia" w:hAnsiTheme="minorEastAsia"/>
          <w:szCs w:val="21"/>
        </w:rPr>
        <w:t>征地水位、移民水位、设计洪水位、</w:t>
      </w:r>
      <w:r>
        <w:rPr>
          <w:rFonts w:asciiTheme="minorEastAsia" w:hAnsiTheme="minorEastAsia"/>
          <w:szCs w:val="21"/>
        </w:rPr>
        <w:t>历史最高水位</w:t>
      </w:r>
      <w:r>
        <w:rPr>
          <w:rFonts w:hint="eastAsia" w:asciiTheme="minorEastAsia" w:hAnsiTheme="minorEastAsia"/>
          <w:szCs w:val="21"/>
        </w:rPr>
        <w:t>等，</w:t>
      </w:r>
      <w:r>
        <w:rPr>
          <w:rFonts w:asciiTheme="minorEastAsia" w:hAnsiTheme="minorEastAsia"/>
          <w:szCs w:val="21"/>
        </w:rPr>
        <w:t>自动发送预警短信</w:t>
      </w:r>
      <w:r>
        <w:rPr>
          <w:rFonts w:hint="eastAsia" w:asciiTheme="minorEastAsia" w:hAnsiTheme="minorEastAsia"/>
          <w:szCs w:val="21"/>
        </w:rPr>
        <w:t>。</w:t>
      </w:r>
    </w:p>
    <w:p>
      <w:pPr>
        <w:spacing w:line="360" w:lineRule="auto"/>
        <w:ind w:firstLine="424" w:firstLineChars="202"/>
        <w:rPr>
          <w:rFonts w:asciiTheme="minorEastAsia" w:hAnsiTheme="minorEastAsia"/>
          <w:szCs w:val="21"/>
        </w:rPr>
      </w:pPr>
      <w:r>
        <w:rPr>
          <w:rFonts w:hint="eastAsia" w:asciiTheme="minorEastAsia" w:hAnsiTheme="minorEastAsia"/>
          <w:szCs w:val="21"/>
        </w:rPr>
        <w:t>水库泄洪流量预警：水库下泄流量达到下游河道安全泄量的某一级别、超过下游河道安全泄量、水库保坝泄洪流量等</w:t>
      </w:r>
      <w:r>
        <w:rPr>
          <w:rFonts w:asciiTheme="minorEastAsia" w:hAnsiTheme="minorEastAsia"/>
          <w:szCs w:val="21"/>
        </w:rPr>
        <w:t>，自动发送预警短信</w:t>
      </w:r>
      <w:r>
        <w:rPr>
          <w:rFonts w:hint="eastAsia" w:asciiTheme="minorEastAsia" w:hAnsiTheme="minorEastAsia"/>
          <w:szCs w:val="21"/>
        </w:rPr>
        <w:t>。</w:t>
      </w:r>
    </w:p>
    <w:p>
      <w:pPr>
        <w:spacing w:line="360" w:lineRule="auto"/>
        <w:ind w:firstLine="426" w:firstLineChars="202"/>
        <w:rPr>
          <w:rFonts w:asciiTheme="minorEastAsia" w:hAnsiTheme="minorEastAsia"/>
          <w:b/>
          <w:szCs w:val="21"/>
        </w:rPr>
      </w:pPr>
      <w:r>
        <w:rPr>
          <w:rFonts w:hint="eastAsia" w:asciiTheme="minorEastAsia" w:hAnsiTheme="minorEastAsia"/>
          <w:b/>
          <w:szCs w:val="21"/>
        </w:rPr>
        <w:t>（</w:t>
      </w:r>
      <w:r>
        <w:rPr>
          <w:rFonts w:asciiTheme="minorEastAsia" w:hAnsiTheme="minorEastAsia"/>
          <w:b/>
          <w:szCs w:val="21"/>
        </w:rPr>
        <w:t>4</w:t>
      </w:r>
      <w:r>
        <w:rPr>
          <w:rFonts w:hint="eastAsia" w:asciiTheme="minorEastAsia" w:hAnsiTheme="minorEastAsia"/>
          <w:b/>
          <w:szCs w:val="21"/>
        </w:rPr>
        <w:t>）旱情预警</w:t>
      </w:r>
    </w:p>
    <w:p>
      <w:pPr>
        <w:spacing w:line="360" w:lineRule="auto"/>
        <w:ind w:firstLine="424" w:firstLineChars="202"/>
        <w:rPr>
          <w:rFonts w:asciiTheme="minorEastAsia" w:hAnsiTheme="minorEastAsia"/>
          <w:szCs w:val="21"/>
        </w:rPr>
      </w:pPr>
      <w:r>
        <w:rPr>
          <w:rFonts w:hint="eastAsia" w:asciiTheme="minorEastAsia" w:hAnsiTheme="minorEastAsia"/>
          <w:szCs w:val="21"/>
        </w:rPr>
        <w:t>根据用户</w:t>
      </w:r>
      <w:r>
        <w:rPr>
          <w:rFonts w:asciiTheme="minorEastAsia" w:hAnsiTheme="minorEastAsia"/>
          <w:szCs w:val="21"/>
        </w:rPr>
        <w:t>设</w:t>
      </w:r>
      <w:r>
        <w:rPr>
          <w:rFonts w:hint="eastAsia" w:asciiTheme="minorEastAsia" w:hAnsiTheme="minorEastAsia"/>
          <w:szCs w:val="21"/>
        </w:rPr>
        <w:t>定</w:t>
      </w:r>
      <w:r>
        <w:rPr>
          <w:rFonts w:asciiTheme="minorEastAsia" w:hAnsiTheme="minorEastAsia"/>
          <w:szCs w:val="21"/>
        </w:rPr>
        <w:t>的</w:t>
      </w:r>
      <w:r>
        <w:rPr>
          <w:rFonts w:hint="eastAsia" w:asciiTheme="minorEastAsia" w:hAnsiTheme="minorEastAsia"/>
          <w:szCs w:val="21"/>
        </w:rPr>
        <w:t>江河旱限水位、水库可供水天数、土壤含水量等</w:t>
      </w:r>
      <w:r>
        <w:rPr>
          <w:rFonts w:asciiTheme="minorEastAsia" w:hAnsiTheme="minorEastAsia"/>
          <w:szCs w:val="21"/>
        </w:rPr>
        <w:t>预警</w:t>
      </w:r>
      <w:r>
        <w:rPr>
          <w:rFonts w:hint="eastAsia" w:asciiTheme="minorEastAsia" w:hAnsiTheme="minorEastAsia"/>
          <w:szCs w:val="21"/>
        </w:rPr>
        <w:t>指标，出现旱情时，</w:t>
      </w:r>
      <w:r>
        <w:rPr>
          <w:rFonts w:asciiTheme="minorEastAsia" w:hAnsiTheme="minorEastAsia"/>
          <w:szCs w:val="21"/>
        </w:rPr>
        <w:t>自动生成旱情预警通知单，</w:t>
      </w:r>
      <w:r>
        <w:rPr>
          <w:rFonts w:hint="eastAsia" w:asciiTheme="minorEastAsia" w:hAnsiTheme="minorEastAsia"/>
          <w:szCs w:val="21"/>
        </w:rPr>
        <w:t>发送预警和短信。</w:t>
      </w:r>
    </w:p>
    <w:p>
      <w:pPr>
        <w:spacing w:line="360" w:lineRule="auto"/>
        <w:ind w:firstLine="426" w:firstLineChars="202"/>
        <w:rPr>
          <w:rFonts w:asciiTheme="minorEastAsia" w:hAnsiTheme="minorEastAsia"/>
          <w:b/>
          <w:szCs w:val="21"/>
        </w:rPr>
      </w:pPr>
      <w:r>
        <w:rPr>
          <w:rFonts w:hint="eastAsia" w:asciiTheme="minorEastAsia" w:hAnsiTheme="minorEastAsia"/>
          <w:b/>
          <w:szCs w:val="21"/>
        </w:rPr>
        <w:t>（5）山洪灾害预警</w:t>
      </w:r>
    </w:p>
    <w:p>
      <w:pPr>
        <w:spacing w:line="360" w:lineRule="auto"/>
        <w:ind w:firstLine="424" w:firstLineChars="202"/>
        <w:rPr>
          <w:rFonts w:asciiTheme="minorEastAsia" w:hAnsiTheme="minorEastAsia"/>
          <w:szCs w:val="21"/>
        </w:rPr>
      </w:pPr>
      <w:r>
        <w:rPr>
          <w:rFonts w:hint="eastAsia" w:asciiTheme="minorEastAsia" w:hAnsiTheme="minorEastAsia"/>
          <w:szCs w:val="21"/>
        </w:rPr>
        <w:t>根据山洪灾害预警规则，利用</w:t>
      </w:r>
      <w:r>
        <w:rPr>
          <w:rFonts w:asciiTheme="minorEastAsia" w:hAnsiTheme="minorEastAsia"/>
          <w:szCs w:val="21"/>
        </w:rPr>
        <w:t>山洪</w:t>
      </w:r>
      <w:r>
        <w:rPr>
          <w:rFonts w:hint="eastAsia" w:asciiTheme="minorEastAsia" w:hAnsiTheme="minorEastAsia"/>
          <w:szCs w:val="21"/>
        </w:rPr>
        <w:t>灾害预警</w:t>
      </w:r>
      <w:r>
        <w:rPr>
          <w:rFonts w:asciiTheme="minorEastAsia" w:hAnsiTheme="minorEastAsia"/>
          <w:szCs w:val="21"/>
        </w:rPr>
        <w:t>单模版，</w:t>
      </w:r>
      <w:r>
        <w:rPr>
          <w:rFonts w:hint="eastAsia" w:asciiTheme="minorEastAsia" w:hAnsiTheme="minorEastAsia"/>
          <w:szCs w:val="21"/>
        </w:rPr>
        <w:t>对易发生山洪灾害区域编制预警信息。</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2" w:name="_Toc17451420"/>
      <w:r>
        <w:rPr>
          <w:rFonts w:hint="eastAsia" w:asciiTheme="minorEastAsia" w:hAnsiTheme="minorEastAsia" w:eastAsiaTheme="minorEastAsia"/>
          <w:sz w:val="21"/>
          <w:szCs w:val="21"/>
        </w:rPr>
        <w:t>4.2重要区域面雨量监视</w:t>
      </w:r>
      <w:bookmarkEnd w:id="112"/>
    </w:p>
    <w:p>
      <w:pPr>
        <w:spacing w:line="360" w:lineRule="auto"/>
        <w:ind w:firstLine="424" w:firstLineChars="202"/>
        <w:rPr>
          <w:rFonts w:asciiTheme="minorEastAsia" w:hAnsiTheme="minorEastAsia"/>
          <w:szCs w:val="21"/>
        </w:rPr>
      </w:pPr>
      <w:r>
        <w:rPr>
          <w:rFonts w:hint="eastAsia" w:asciiTheme="minorEastAsia" w:hAnsiTheme="minorEastAsia"/>
          <w:szCs w:val="21"/>
        </w:rPr>
        <w:t>按流域分区或行政分区，选择雨量代表站(包括水文站点和气象站点</w:t>
      </w:r>
      <w:r>
        <w:rPr>
          <w:rFonts w:asciiTheme="minorEastAsia" w:hAnsiTheme="minorEastAsia"/>
          <w:szCs w:val="21"/>
        </w:rPr>
        <w:t>)</w:t>
      </w:r>
      <w:r>
        <w:rPr>
          <w:rFonts w:hint="eastAsia" w:asciiTheme="minorEastAsia" w:hAnsiTheme="minorEastAsia"/>
          <w:szCs w:val="21"/>
        </w:rPr>
        <w:t>，使用GIS方法、泰森多边形法、算术平均法，计算分区面雨量，</w:t>
      </w:r>
      <w:r>
        <w:rPr>
          <w:rFonts w:asciiTheme="minorEastAsia" w:hAnsiTheme="minorEastAsia"/>
          <w:szCs w:val="21"/>
        </w:rPr>
        <w:t>并以柱状图展示。</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.3</w:t>
      </w:r>
      <w:r>
        <w:rPr>
          <w:rFonts w:hint="eastAsia" w:asciiTheme="minorEastAsia" w:hAnsiTheme="minorEastAsia" w:eastAsiaTheme="minorEastAsia"/>
          <w:sz w:val="21"/>
          <w:szCs w:val="21"/>
        </w:rPr>
        <w:t>主要江河</w:t>
      </w:r>
      <w:r>
        <w:rPr>
          <w:rFonts w:asciiTheme="minorEastAsia" w:hAnsiTheme="minorEastAsia" w:eastAsiaTheme="minorEastAsia"/>
          <w:sz w:val="21"/>
          <w:szCs w:val="21"/>
        </w:rPr>
        <w:t>控制站水位流量</w:t>
      </w:r>
      <w:r>
        <w:rPr>
          <w:rFonts w:hint="eastAsia" w:asciiTheme="minorEastAsia" w:hAnsiTheme="minorEastAsia" w:eastAsiaTheme="minorEastAsia"/>
          <w:sz w:val="21"/>
          <w:szCs w:val="21"/>
        </w:rPr>
        <w:t>分级展示</w:t>
      </w:r>
    </w:p>
    <w:p>
      <w:pPr>
        <w:spacing w:line="360" w:lineRule="auto"/>
        <w:ind w:firstLine="424" w:firstLineChars="202"/>
        <w:rPr>
          <w:rFonts w:cs="仿宋_GB2312" w:asciiTheme="minorEastAsia" w:hAnsiTheme="minorEastAsia"/>
          <w:szCs w:val="21"/>
        </w:rPr>
      </w:pPr>
      <w:r>
        <w:rPr>
          <w:rFonts w:hint="eastAsia" w:asciiTheme="minorEastAsia" w:hAnsiTheme="minorEastAsia"/>
          <w:szCs w:val="21"/>
        </w:rPr>
        <w:t>在“</w:t>
      </w:r>
      <w:r>
        <w:rPr>
          <w:rFonts w:asciiTheme="minorEastAsia" w:hAnsiTheme="minorEastAsia"/>
          <w:szCs w:val="21"/>
        </w:rPr>
        <w:t>一张图</w:t>
      </w:r>
      <w:r>
        <w:rPr>
          <w:rFonts w:hint="eastAsia" w:asciiTheme="minorEastAsia" w:hAnsiTheme="minorEastAsia"/>
          <w:szCs w:val="21"/>
        </w:rPr>
        <w:t>”</w:t>
      </w:r>
      <w:r>
        <w:rPr>
          <w:rFonts w:asciiTheme="minorEastAsia" w:hAnsiTheme="minorEastAsia"/>
          <w:szCs w:val="21"/>
        </w:rPr>
        <w:t>上展示</w:t>
      </w:r>
      <w:r>
        <w:rPr>
          <w:rFonts w:hint="eastAsia" w:asciiTheme="minorEastAsia" w:hAnsiTheme="minorEastAsia"/>
          <w:szCs w:val="21"/>
        </w:rPr>
        <w:t>全市</w:t>
      </w:r>
      <w:r>
        <w:rPr>
          <w:rFonts w:asciiTheme="minorEastAsia" w:hAnsiTheme="minorEastAsia"/>
          <w:szCs w:val="21"/>
        </w:rPr>
        <w:t>主要江河控制站实时水位、</w:t>
      </w:r>
      <w:r>
        <w:rPr>
          <w:rFonts w:hint="eastAsia" w:asciiTheme="minorEastAsia" w:hAnsiTheme="minorEastAsia"/>
          <w:szCs w:val="21"/>
        </w:rPr>
        <w:t>实时</w:t>
      </w:r>
      <w:r>
        <w:rPr>
          <w:rFonts w:asciiTheme="minorEastAsia" w:hAnsiTheme="minorEastAsia"/>
          <w:szCs w:val="21"/>
        </w:rPr>
        <w:t>流量</w:t>
      </w:r>
      <w:r>
        <w:rPr>
          <w:rFonts w:hint="eastAsia" w:asciiTheme="minorEastAsia" w:hAnsiTheme="minorEastAsia"/>
          <w:szCs w:val="21"/>
        </w:rPr>
        <w:t>、预测</w:t>
      </w:r>
      <w:r>
        <w:rPr>
          <w:rFonts w:asciiTheme="minorEastAsia" w:hAnsiTheme="minorEastAsia"/>
          <w:szCs w:val="21"/>
        </w:rPr>
        <w:t>预报信息</w:t>
      </w:r>
      <w:r>
        <w:rPr>
          <w:rFonts w:hint="eastAsia" w:asciiTheme="minorEastAsia" w:hAnsiTheme="minorEastAsia"/>
          <w:szCs w:val="21"/>
        </w:rPr>
        <w:t>，</w:t>
      </w:r>
      <w:r>
        <w:rPr>
          <w:rFonts w:asciiTheme="minorEastAsia" w:hAnsiTheme="minorEastAsia"/>
          <w:szCs w:val="21"/>
        </w:rPr>
        <w:t>并根据</w:t>
      </w:r>
      <w:r>
        <w:rPr>
          <w:rFonts w:hint="eastAsia" w:asciiTheme="minorEastAsia" w:hAnsiTheme="minorEastAsia"/>
          <w:szCs w:val="21"/>
        </w:rPr>
        <w:t>实测</w:t>
      </w:r>
      <w:r>
        <w:rPr>
          <w:rFonts w:asciiTheme="minorEastAsia" w:hAnsiTheme="minorEastAsia"/>
          <w:szCs w:val="21"/>
        </w:rPr>
        <w:t>或预报</w:t>
      </w:r>
      <w:r>
        <w:rPr>
          <w:rFonts w:hint="eastAsia" w:asciiTheme="minorEastAsia" w:hAnsiTheme="minorEastAsia"/>
          <w:szCs w:val="21"/>
        </w:rPr>
        <w:t>水位</w:t>
      </w:r>
      <w:r>
        <w:rPr>
          <w:rFonts w:asciiTheme="minorEastAsia" w:hAnsiTheme="minorEastAsia"/>
          <w:szCs w:val="21"/>
        </w:rPr>
        <w:t>超</w:t>
      </w:r>
      <w:r>
        <w:rPr>
          <w:rFonts w:hint="eastAsia" w:asciiTheme="minorEastAsia" w:hAnsiTheme="minorEastAsia"/>
          <w:szCs w:val="21"/>
        </w:rPr>
        <w:t>警、</w:t>
      </w:r>
      <w:r>
        <w:rPr>
          <w:rFonts w:asciiTheme="minorEastAsia" w:hAnsiTheme="minorEastAsia"/>
          <w:szCs w:val="21"/>
        </w:rPr>
        <w:t>超保</w:t>
      </w:r>
      <w:r>
        <w:rPr>
          <w:rFonts w:hint="eastAsia" w:asciiTheme="minorEastAsia" w:hAnsiTheme="minorEastAsia"/>
          <w:szCs w:val="21"/>
        </w:rPr>
        <w:t>情况</w:t>
      </w:r>
      <w:r>
        <w:rPr>
          <w:rFonts w:asciiTheme="minorEastAsia" w:hAnsiTheme="minorEastAsia"/>
          <w:szCs w:val="21"/>
        </w:rPr>
        <w:t>分级展示。</w:t>
      </w:r>
      <w:r>
        <w:rPr>
          <w:rFonts w:hint="eastAsia" w:cs="仿宋_GB2312" w:asciiTheme="minorEastAsia" w:hAnsiTheme="minorEastAsia"/>
          <w:szCs w:val="21"/>
        </w:rPr>
        <w:t>点击站点时，通过</w:t>
      </w:r>
      <w:r>
        <w:rPr>
          <w:rFonts w:cs="仿宋_GB2312" w:asciiTheme="minorEastAsia" w:hAnsiTheme="minorEastAsia"/>
          <w:szCs w:val="21"/>
        </w:rPr>
        <w:t>左图右表的</w:t>
      </w:r>
      <w:r>
        <w:rPr>
          <w:rFonts w:hint="eastAsia" w:cs="仿宋_GB2312" w:asciiTheme="minorEastAsia" w:hAnsiTheme="minorEastAsia"/>
          <w:szCs w:val="21"/>
        </w:rPr>
        <w:t>形式</w:t>
      </w:r>
      <w:r>
        <w:rPr>
          <w:rFonts w:cs="仿宋_GB2312" w:asciiTheme="minorEastAsia" w:hAnsiTheme="minorEastAsia"/>
          <w:szCs w:val="21"/>
        </w:rPr>
        <w:t>展示水位、流量过程。</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4</w:t>
      </w:r>
      <w:r>
        <w:rPr>
          <w:rFonts w:asciiTheme="minorEastAsia" w:hAnsiTheme="minorEastAsia" w:eastAsiaTheme="minorEastAsia"/>
          <w:sz w:val="21"/>
          <w:szCs w:val="21"/>
        </w:rPr>
        <w:t>.4</w:t>
      </w:r>
      <w:r>
        <w:rPr>
          <w:rFonts w:hint="eastAsia" w:asciiTheme="minorEastAsia" w:hAnsiTheme="minorEastAsia" w:eastAsiaTheme="minorEastAsia"/>
          <w:sz w:val="21"/>
          <w:szCs w:val="21"/>
        </w:rPr>
        <w:t>大中型</w:t>
      </w:r>
      <w:r>
        <w:rPr>
          <w:rFonts w:asciiTheme="minorEastAsia" w:hAnsiTheme="minorEastAsia" w:eastAsiaTheme="minorEastAsia"/>
          <w:sz w:val="21"/>
          <w:szCs w:val="21"/>
        </w:rPr>
        <w:t>水库水位流量</w:t>
      </w:r>
      <w:r>
        <w:rPr>
          <w:rFonts w:hint="eastAsia" w:asciiTheme="minorEastAsia" w:hAnsiTheme="minorEastAsia" w:eastAsiaTheme="minorEastAsia"/>
          <w:sz w:val="21"/>
          <w:szCs w:val="21"/>
        </w:rPr>
        <w:t>分级展示</w:t>
      </w:r>
    </w:p>
    <w:p>
      <w:pPr>
        <w:spacing w:line="360" w:lineRule="auto"/>
        <w:ind w:firstLine="424" w:firstLineChars="202"/>
        <w:rPr>
          <w:rFonts w:cs="仿宋_GB2312" w:asciiTheme="minorEastAsia" w:hAnsiTheme="minorEastAsia"/>
          <w:szCs w:val="21"/>
        </w:rPr>
      </w:pPr>
      <w:r>
        <w:rPr>
          <w:rFonts w:hint="eastAsia" w:asciiTheme="minorEastAsia" w:hAnsiTheme="minorEastAsia"/>
          <w:szCs w:val="21"/>
        </w:rPr>
        <w:t>在“</w:t>
      </w:r>
      <w:r>
        <w:rPr>
          <w:rFonts w:asciiTheme="minorEastAsia" w:hAnsiTheme="minorEastAsia"/>
          <w:szCs w:val="21"/>
        </w:rPr>
        <w:t>一张图</w:t>
      </w:r>
      <w:r>
        <w:rPr>
          <w:rFonts w:hint="eastAsia" w:asciiTheme="minorEastAsia" w:hAnsiTheme="minorEastAsia"/>
          <w:szCs w:val="21"/>
        </w:rPr>
        <w:t>”</w:t>
      </w:r>
      <w:r>
        <w:rPr>
          <w:rFonts w:asciiTheme="minorEastAsia" w:hAnsiTheme="minorEastAsia"/>
          <w:szCs w:val="21"/>
        </w:rPr>
        <w:t>上展示</w:t>
      </w:r>
      <w:r>
        <w:rPr>
          <w:rFonts w:hint="eastAsia" w:asciiTheme="minorEastAsia" w:hAnsiTheme="minorEastAsia"/>
          <w:szCs w:val="21"/>
        </w:rPr>
        <w:t>全市大中型水库</w:t>
      </w:r>
      <w:r>
        <w:rPr>
          <w:rFonts w:asciiTheme="minorEastAsia" w:hAnsiTheme="minorEastAsia"/>
          <w:szCs w:val="21"/>
        </w:rPr>
        <w:t>实时水位、</w:t>
      </w:r>
      <w:r>
        <w:rPr>
          <w:rFonts w:hint="eastAsia" w:asciiTheme="minorEastAsia" w:hAnsiTheme="minorEastAsia"/>
          <w:szCs w:val="21"/>
        </w:rPr>
        <w:t>实时出库</w:t>
      </w:r>
      <w:r>
        <w:rPr>
          <w:rFonts w:asciiTheme="minorEastAsia" w:hAnsiTheme="minorEastAsia"/>
          <w:szCs w:val="21"/>
        </w:rPr>
        <w:t>流量</w:t>
      </w:r>
      <w:r>
        <w:rPr>
          <w:rFonts w:hint="eastAsia" w:asciiTheme="minorEastAsia" w:hAnsiTheme="minorEastAsia"/>
          <w:szCs w:val="21"/>
        </w:rPr>
        <w:t>、</w:t>
      </w:r>
      <w:r>
        <w:rPr>
          <w:rFonts w:asciiTheme="minorEastAsia" w:hAnsiTheme="minorEastAsia"/>
          <w:szCs w:val="21"/>
        </w:rPr>
        <w:t>洪水预报</w:t>
      </w:r>
      <w:r>
        <w:rPr>
          <w:rFonts w:hint="eastAsia" w:asciiTheme="minorEastAsia" w:hAnsiTheme="minorEastAsia"/>
          <w:szCs w:val="21"/>
        </w:rPr>
        <w:t>信息，</w:t>
      </w:r>
      <w:r>
        <w:rPr>
          <w:rFonts w:asciiTheme="minorEastAsia" w:hAnsiTheme="minorEastAsia"/>
          <w:szCs w:val="21"/>
        </w:rPr>
        <w:t>并根据</w:t>
      </w:r>
      <w:r>
        <w:rPr>
          <w:rFonts w:hint="eastAsia" w:asciiTheme="minorEastAsia" w:hAnsiTheme="minorEastAsia"/>
          <w:szCs w:val="21"/>
        </w:rPr>
        <w:t>实测</w:t>
      </w:r>
      <w:r>
        <w:rPr>
          <w:rFonts w:asciiTheme="minorEastAsia" w:hAnsiTheme="minorEastAsia"/>
          <w:szCs w:val="21"/>
        </w:rPr>
        <w:t>或预报</w:t>
      </w:r>
      <w:r>
        <w:rPr>
          <w:rFonts w:hint="eastAsia" w:asciiTheme="minorEastAsia" w:hAnsiTheme="minorEastAsia"/>
          <w:szCs w:val="21"/>
        </w:rPr>
        <w:t>水位</w:t>
      </w:r>
      <w:r>
        <w:rPr>
          <w:rFonts w:asciiTheme="minorEastAsia" w:hAnsiTheme="minorEastAsia"/>
          <w:szCs w:val="21"/>
        </w:rPr>
        <w:t>超</w:t>
      </w:r>
      <w:r>
        <w:rPr>
          <w:rFonts w:hint="eastAsia" w:asciiTheme="minorEastAsia" w:hAnsiTheme="minorEastAsia"/>
          <w:szCs w:val="21"/>
        </w:rPr>
        <w:t>汛限情况</w:t>
      </w:r>
      <w:r>
        <w:rPr>
          <w:rFonts w:asciiTheme="minorEastAsia" w:hAnsiTheme="minorEastAsia"/>
          <w:szCs w:val="21"/>
        </w:rPr>
        <w:t>分级展示。</w:t>
      </w:r>
      <w:r>
        <w:rPr>
          <w:rFonts w:hint="eastAsia" w:cs="仿宋_GB2312" w:asciiTheme="minorEastAsia" w:hAnsiTheme="minorEastAsia"/>
          <w:szCs w:val="21"/>
        </w:rPr>
        <w:t>点击站点时，通过</w:t>
      </w:r>
      <w:r>
        <w:rPr>
          <w:rFonts w:cs="仿宋_GB2312" w:asciiTheme="minorEastAsia" w:hAnsiTheme="minorEastAsia"/>
          <w:szCs w:val="21"/>
        </w:rPr>
        <w:t>左图右表的</w:t>
      </w:r>
      <w:r>
        <w:rPr>
          <w:rFonts w:hint="eastAsia" w:cs="仿宋_GB2312" w:asciiTheme="minorEastAsia" w:hAnsiTheme="minorEastAsia"/>
          <w:szCs w:val="21"/>
        </w:rPr>
        <w:t>形式</w:t>
      </w:r>
      <w:r>
        <w:rPr>
          <w:rFonts w:cs="仿宋_GB2312" w:asciiTheme="minorEastAsia" w:hAnsiTheme="minorEastAsia"/>
          <w:szCs w:val="21"/>
        </w:rPr>
        <w:t>展示水位、</w:t>
      </w:r>
      <w:r>
        <w:rPr>
          <w:rFonts w:hint="eastAsia" w:cs="仿宋_GB2312" w:asciiTheme="minorEastAsia" w:hAnsiTheme="minorEastAsia"/>
          <w:szCs w:val="21"/>
        </w:rPr>
        <w:t>出库</w:t>
      </w:r>
      <w:r>
        <w:rPr>
          <w:rFonts w:cs="仿宋_GB2312" w:asciiTheme="minorEastAsia" w:hAnsiTheme="minorEastAsia"/>
          <w:szCs w:val="21"/>
        </w:rPr>
        <w:t>流量过程</w:t>
      </w:r>
      <w:r>
        <w:rPr>
          <w:rFonts w:hint="eastAsia" w:cs="仿宋_GB2312" w:asciiTheme="minorEastAsia" w:hAnsiTheme="minorEastAsia"/>
          <w:szCs w:val="21"/>
        </w:rPr>
        <w:t>。</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3" w:name="_Toc17451421"/>
      <w:r>
        <w:rPr>
          <w:rFonts w:hint="eastAsia" w:asciiTheme="minorEastAsia" w:hAnsiTheme="minorEastAsia" w:eastAsiaTheme="minorEastAsia"/>
          <w:sz w:val="21"/>
          <w:szCs w:val="21"/>
        </w:rPr>
        <w:t>4.</w:t>
      </w:r>
      <w:r>
        <w:rPr>
          <w:rFonts w:asciiTheme="minorEastAsia" w:hAnsiTheme="minorEastAsia" w:eastAsiaTheme="minorEastAsia"/>
          <w:sz w:val="21"/>
          <w:szCs w:val="21"/>
        </w:rPr>
        <w:t>5</w:t>
      </w:r>
      <w:r>
        <w:rPr>
          <w:rFonts w:hint="eastAsia" w:asciiTheme="minorEastAsia" w:hAnsiTheme="minorEastAsia" w:eastAsiaTheme="minorEastAsia"/>
          <w:sz w:val="21"/>
          <w:szCs w:val="21"/>
        </w:rPr>
        <w:t>水库蓄水率统计</w:t>
      </w:r>
      <w:bookmarkEnd w:id="113"/>
      <w:r>
        <w:rPr>
          <w:rFonts w:hint="eastAsia" w:asciiTheme="minorEastAsia" w:hAnsiTheme="minorEastAsia" w:eastAsiaTheme="minorEastAsia"/>
          <w:sz w:val="21"/>
          <w:szCs w:val="21"/>
        </w:rPr>
        <w:t>展示</w:t>
      </w:r>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根据重要水库的当前水情，以饼状图的方式显示水库蓄水率，并按不同颜色进行显示。</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4" w:name="_Toc17451422"/>
      <w:r>
        <w:rPr>
          <w:rFonts w:hint="eastAsia" w:asciiTheme="minorEastAsia" w:hAnsiTheme="minorEastAsia" w:eastAsiaTheme="minorEastAsia"/>
          <w:sz w:val="21"/>
          <w:szCs w:val="21"/>
        </w:rPr>
        <w:t>4.</w:t>
      </w:r>
      <w:r>
        <w:rPr>
          <w:rFonts w:asciiTheme="minorEastAsia" w:hAnsiTheme="minorEastAsia" w:eastAsiaTheme="minorEastAsia"/>
          <w:sz w:val="21"/>
          <w:szCs w:val="21"/>
        </w:rPr>
        <w:t>6</w:t>
      </w:r>
      <w:r>
        <w:rPr>
          <w:rFonts w:hint="eastAsia" w:asciiTheme="minorEastAsia" w:hAnsiTheme="minorEastAsia" w:eastAsiaTheme="minorEastAsia"/>
          <w:sz w:val="21"/>
          <w:szCs w:val="21"/>
        </w:rPr>
        <w:t>水情分析成果展示</w:t>
      </w:r>
      <w:bookmarkEnd w:id="114"/>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根据当前水情分析成果的发布情况，在</w:t>
      </w:r>
      <w:r>
        <w:rPr>
          <w:rFonts w:cs="仿宋_GB2312" w:asciiTheme="minorEastAsia" w:hAnsiTheme="minorEastAsia" w:eastAsiaTheme="minorEastAsia"/>
          <w:sz w:val="21"/>
          <w:szCs w:val="21"/>
        </w:rPr>
        <w:t>系统主页上展示</w:t>
      </w:r>
      <w:r>
        <w:rPr>
          <w:rFonts w:hint="eastAsia" w:cs="仿宋_GB2312" w:asciiTheme="minorEastAsia" w:hAnsiTheme="minorEastAsia" w:eastAsiaTheme="minorEastAsia"/>
          <w:sz w:val="21"/>
          <w:szCs w:val="21"/>
        </w:rPr>
        <w:t>简报</w:t>
      </w:r>
      <w:r>
        <w:rPr>
          <w:rFonts w:cs="仿宋_GB2312" w:asciiTheme="minorEastAsia" w:hAnsiTheme="minorEastAsia" w:eastAsiaTheme="minorEastAsia"/>
          <w:sz w:val="21"/>
          <w:szCs w:val="21"/>
        </w:rPr>
        <w:t>、快报、</w:t>
      </w:r>
      <w:r>
        <w:rPr>
          <w:rFonts w:hint="eastAsia" w:cs="仿宋_GB2312" w:asciiTheme="minorEastAsia" w:hAnsiTheme="minorEastAsia" w:eastAsiaTheme="minorEastAsia"/>
          <w:sz w:val="21"/>
          <w:szCs w:val="21"/>
        </w:rPr>
        <w:t>洪水</w:t>
      </w:r>
      <w:r>
        <w:rPr>
          <w:rFonts w:cs="仿宋_GB2312" w:asciiTheme="minorEastAsia" w:hAnsiTheme="minorEastAsia" w:eastAsiaTheme="minorEastAsia"/>
          <w:sz w:val="21"/>
          <w:szCs w:val="21"/>
        </w:rPr>
        <w:t>预报</w:t>
      </w:r>
      <w:r>
        <w:rPr>
          <w:rFonts w:hint="eastAsia" w:cs="仿宋_GB2312" w:asciiTheme="minorEastAsia" w:hAnsiTheme="minorEastAsia" w:eastAsiaTheme="minorEastAsia"/>
          <w:sz w:val="21"/>
          <w:szCs w:val="21"/>
        </w:rPr>
        <w:t>等最新的水雨情分析预报</w:t>
      </w:r>
      <w:r>
        <w:rPr>
          <w:rFonts w:cs="仿宋_GB2312" w:asciiTheme="minorEastAsia" w:hAnsiTheme="minorEastAsia" w:eastAsiaTheme="minorEastAsia"/>
          <w:sz w:val="21"/>
          <w:szCs w:val="21"/>
        </w:rPr>
        <w:t>预测</w:t>
      </w:r>
      <w:r>
        <w:rPr>
          <w:rFonts w:hint="eastAsia" w:cs="仿宋_GB2312" w:asciiTheme="minorEastAsia" w:hAnsiTheme="minorEastAsia" w:eastAsiaTheme="minorEastAsia"/>
          <w:sz w:val="21"/>
          <w:szCs w:val="21"/>
        </w:rPr>
        <w:t>成果，并自动提示和标识。用户可以在该界面查看分析成果。</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5" w:name="_Toc17451423"/>
      <w:r>
        <w:rPr>
          <w:rFonts w:hint="eastAsia" w:asciiTheme="minorEastAsia" w:hAnsiTheme="minorEastAsia" w:eastAsiaTheme="minorEastAsia"/>
          <w:sz w:val="21"/>
          <w:szCs w:val="21"/>
        </w:rPr>
        <w:t>4.</w:t>
      </w:r>
      <w:r>
        <w:rPr>
          <w:rFonts w:asciiTheme="minorEastAsia" w:hAnsiTheme="minorEastAsia" w:eastAsiaTheme="minorEastAsia"/>
          <w:sz w:val="21"/>
          <w:szCs w:val="21"/>
        </w:rPr>
        <w:t>7</w:t>
      </w:r>
      <w:r>
        <w:rPr>
          <w:rFonts w:hint="eastAsia" w:asciiTheme="minorEastAsia" w:hAnsiTheme="minorEastAsia" w:eastAsiaTheme="minorEastAsia"/>
          <w:sz w:val="21"/>
          <w:szCs w:val="21"/>
        </w:rPr>
        <w:t>气象信息</w:t>
      </w:r>
      <w:bookmarkEnd w:id="115"/>
      <w:r>
        <w:rPr>
          <w:rFonts w:hint="eastAsia" w:asciiTheme="minorEastAsia" w:hAnsiTheme="minorEastAsia" w:eastAsiaTheme="minorEastAsia"/>
          <w:sz w:val="21"/>
          <w:szCs w:val="21"/>
        </w:rPr>
        <w:t>展示</w:t>
      </w:r>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展示气象信息，其中包括台风路径、气象云图、短期降雨预测、雷达图等。</w:t>
      </w:r>
    </w:p>
    <w:p>
      <w:pPr>
        <w:spacing w:line="360" w:lineRule="auto"/>
        <w:ind w:firstLine="424" w:firstLineChars="202"/>
        <w:rPr>
          <w:rFonts w:asciiTheme="minorEastAsia" w:hAnsiTheme="minorEastAsia"/>
          <w:szCs w:val="21"/>
        </w:rPr>
      </w:pPr>
      <w:r>
        <w:rPr>
          <w:rFonts w:hint="eastAsia" w:asciiTheme="minorEastAsia" w:hAnsiTheme="minorEastAsia"/>
          <w:szCs w:val="21"/>
        </w:rPr>
        <w:t>系统</w:t>
      </w:r>
      <w:r>
        <w:rPr>
          <w:rFonts w:asciiTheme="minorEastAsia" w:hAnsiTheme="minorEastAsia"/>
          <w:szCs w:val="21"/>
        </w:rPr>
        <w:t>根据提取的气象数值预报信息，自动生成</w:t>
      </w:r>
      <w:r>
        <w:rPr>
          <w:rFonts w:hint="eastAsia" w:asciiTheme="minorEastAsia" w:hAnsiTheme="minorEastAsia"/>
          <w:szCs w:val="21"/>
        </w:rPr>
        <w:t>逐时</w:t>
      </w:r>
      <w:r>
        <w:rPr>
          <w:rFonts w:asciiTheme="minorEastAsia" w:hAnsiTheme="minorEastAsia"/>
          <w:szCs w:val="21"/>
        </w:rPr>
        <w:t>降雨分布图，并进行动态滚动播放。</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6" w:name="_Toc17451424"/>
      <w:r>
        <w:rPr>
          <w:rFonts w:hint="eastAsia" w:asciiTheme="minorEastAsia" w:hAnsiTheme="minorEastAsia" w:eastAsiaTheme="minorEastAsia"/>
          <w:sz w:val="21"/>
          <w:szCs w:val="21"/>
        </w:rPr>
        <w:t>4.</w:t>
      </w:r>
      <w:r>
        <w:rPr>
          <w:rFonts w:asciiTheme="minorEastAsia" w:hAnsiTheme="minorEastAsia" w:eastAsiaTheme="minorEastAsia"/>
          <w:sz w:val="21"/>
          <w:szCs w:val="21"/>
        </w:rPr>
        <w:t>8</w:t>
      </w:r>
      <w:r>
        <w:rPr>
          <w:rFonts w:hint="eastAsia" w:asciiTheme="minorEastAsia" w:hAnsiTheme="minorEastAsia" w:eastAsiaTheme="minorEastAsia"/>
          <w:sz w:val="21"/>
          <w:szCs w:val="21"/>
        </w:rPr>
        <w:t>水库</w:t>
      </w:r>
      <w:bookmarkEnd w:id="116"/>
      <w:r>
        <w:rPr>
          <w:rFonts w:hint="eastAsia" w:asciiTheme="minorEastAsia" w:hAnsiTheme="minorEastAsia" w:eastAsiaTheme="minorEastAsia"/>
          <w:sz w:val="21"/>
          <w:szCs w:val="21"/>
        </w:rPr>
        <w:t>闸坝监视和综合展示</w:t>
      </w:r>
    </w:p>
    <w:p>
      <w:pPr>
        <w:spacing w:line="360" w:lineRule="auto"/>
        <w:ind w:firstLine="424" w:firstLineChars="202"/>
        <w:rPr>
          <w:rFonts w:asciiTheme="minorEastAsia" w:hAnsiTheme="minorEastAsia"/>
          <w:szCs w:val="21"/>
        </w:rPr>
      </w:pPr>
      <w:r>
        <w:rPr>
          <w:rFonts w:hint="eastAsia" w:asciiTheme="minorEastAsia" w:hAnsiTheme="minorEastAsia"/>
          <w:szCs w:val="21"/>
        </w:rPr>
        <w:t>对所有大中型水库和重点监视水库进行综合地图监视，对超汛限水库以不同的标识进行展示。用户点击水库，可以展示水库或闸坝的水情信息，并根据当前水情，分析各水库针对汛限</w:t>
      </w:r>
      <w:r>
        <w:rPr>
          <w:rFonts w:asciiTheme="minorEastAsia" w:hAnsiTheme="minorEastAsia"/>
          <w:szCs w:val="21"/>
        </w:rPr>
        <w:t>水位、征地水位、移民水位</w:t>
      </w:r>
      <w:r>
        <w:rPr>
          <w:rFonts w:hint="eastAsia" w:asciiTheme="minorEastAsia" w:hAnsiTheme="minorEastAsia"/>
          <w:szCs w:val="21"/>
        </w:rPr>
        <w:t>的可纳水量和可纳雨量，以图表进行显示。</w:t>
      </w:r>
    </w:p>
    <w:p>
      <w:pPr>
        <w:spacing w:line="360" w:lineRule="auto"/>
        <w:ind w:firstLine="424" w:firstLineChars="202"/>
        <w:rPr>
          <w:rFonts w:asciiTheme="minorEastAsia" w:hAnsiTheme="minorEastAsia"/>
          <w:szCs w:val="21"/>
        </w:rPr>
      </w:pPr>
      <w:r>
        <w:rPr>
          <w:rFonts w:hint="eastAsia" w:asciiTheme="minorEastAsia" w:hAnsiTheme="minorEastAsia"/>
          <w:szCs w:val="21"/>
        </w:rPr>
        <w:t>系统可对大中型水库等</w:t>
      </w:r>
      <w:r>
        <w:rPr>
          <w:rFonts w:asciiTheme="minorEastAsia" w:hAnsiTheme="minorEastAsia"/>
          <w:szCs w:val="21"/>
        </w:rPr>
        <w:t>水利工程</w:t>
      </w:r>
      <w:r>
        <w:rPr>
          <w:rFonts w:hint="eastAsia" w:asciiTheme="minorEastAsia" w:hAnsiTheme="minorEastAsia"/>
          <w:szCs w:val="21"/>
        </w:rPr>
        <w:t>的各类水位（如</w:t>
      </w:r>
      <w:r>
        <w:rPr>
          <w:rFonts w:asciiTheme="minorEastAsia" w:hAnsiTheme="minorEastAsia"/>
          <w:szCs w:val="21"/>
        </w:rPr>
        <w:t>水库的</w:t>
      </w:r>
      <w:r>
        <w:rPr>
          <w:rFonts w:hint="eastAsia" w:asciiTheme="minorEastAsia" w:hAnsiTheme="minorEastAsia"/>
          <w:szCs w:val="21"/>
        </w:rPr>
        <w:t>实时水位、死水位、汛限水位、防洪高</w:t>
      </w:r>
      <w:r>
        <w:rPr>
          <w:rFonts w:asciiTheme="minorEastAsia" w:hAnsiTheme="minorEastAsia"/>
          <w:szCs w:val="21"/>
        </w:rPr>
        <w:t>水位、征地水</w:t>
      </w:r>
      <w:r>
        <w:rPr>
          <w:rFonts w:hint="eastAsia" w:asciiTheme="minorEastAsia" w:hAnsiTheme="minorEastAsia"/>
          <w:szCs w:val="21"/>
        </w:rPr>
        <w:t>位</w:t>
      </w:r>
      <w:r>
        <w:rPr>
          <w:rFonts w:asciiTheme="minorEastAsia" w:hAnsiTheme="minorEastAsia"/>
          <w:szCs w:val="21"/>
        </w:rPr>
        <w:t>、移民水位</w:t>
      </w:r>
      <w:r>
        <w:rPr>
          <w:rFonts w:hint="eastAsia" w:asciiTheme="minorEastAsia" w:hAnsiTheme="minorEastAsia"/>
          <w:szCs w:val="21"/>
        </w:rPr>
        <w:t>、坝顶高程、</w:t>
      </w:r>
      <w:r>
        <w:rPr>
          <w:rFonts w:asciiTheme="minorEastAsia" w:hAnsiTheme="minorEastAsia"/>
          <w:szCs w:val="21"/>
        </w:rPr>
        <w:t>历史最高水位</w:t>
      </w:r>
      <w:r>
        <w:rPr>
          <w:rFonts w:hint="eastAsia" w:asciiTheme="minorEastAsia" w:hAnsiTheme="minorEastAsia"/>
          <w:szCs w:val="21"/>
        </w:rPr>
        <w:t>等）在一个界面上综合展示，并在界面上显示调度规则、实际调度信息和人工报汛信息等。当水库</w:t>
      </w:r>
      <w:r>
        <w:rPr>
          <w:rFonts w:asciiTheme="minorEastAsia" w:hAnsiTheme="minorEastAsia"/>
          <w:szCs w:val="21"/>
        </w:rPr>
        <w:t>、闸泵等</w:t>
      </w:r>
      <w:r>
        <w:rPr>
          <w:rFonts w:hint="eastAsia" w:asciiTheme="minorEastAsia" w:hAnsiTheme="minorEastAsia"/>
          <w:szCs w:val="21"/>
        </w:rPr>
        <w:t>水利工程达到预置的调度规则时，加亮显示相关规则，并给出调度提示，提醒调度人员进行水利工程调度。</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17" w:name="_Toc17451425"/>
      <w:r>
        <w:rPr>
          <w:rFonts w:hint="eastAsia" w:asciiTheme="minorEastAsia" w:hAnsiTheme="minorEastAsia" w:eastAsiaTheme="minorEastAsia"/>
          <w:sz w:val="21"/>
          <w:szCs w:val="21"/>
        </w:rPr>
        <w:t>4.</w:t>
      </w:r>
      <w:r>
        <w:rPr>
          <w:rFonts w:asciiTheme="minorEastAsia" w:hAnsiTheme="minorEastAsia" w:eastAsiaTheme="minorEastAsia"/>
          <w:sz w:val="21"/>
          <w:szCs w:val="21"/>
        </w:rPr>
        <w:t>9</w:t>
      </w:r>
      <w:r>
        <w:rPr>
          <w:rFonts w:hint="eastAsia" w:asciiTheme="minorEastAsia" w:hAnsiTheme="minorEastAsia" w:eastAsiaTheme="minorEastAsia"/>
          <w:sz w:val="21"/>
          <w:szCs w:val="21"/>
        </w:rPr>
        <w:t>流域形势分析及展示</w:t>
      </w:r>
      <w:bookmarkEnd w:id="117"/>
    </w:p>
    <w:p>
      <w:pPr>
        <w:spacing w:line="360" w:lineRule="auto"/>
        <w:ind w:firstLine="424" w:firstLineChars="202"/>
        <w:rPr>
          <w:rFonts w:asciiTheme="minorEastAsia" w:hAnsiTheme="minorEastAsia"/>
          <w:szCs w:val="21"/>
        </w:rPr>
      </w:pPr>
      <w:r>
        <w:rPr>
          <w:rFonts w:hint="eastAsia" w:asciiTheme="minorEastAsia" w:hAnsiTheme="minorEastAsia"/>
          <w:szCs w:val="21"/>
        </w:rPr>
        <w:t>对重点流域（主要包括东苕溪、运河、钱塘江干流以及分水江、兰江、浦阳江等重要支流），根据流域等级分层次进行流域导航，对于选择的某一流域进行水情形势分析，在一张图上综合展示流域水情过程、流域历史洪水过程、流域拓扑图、流域水面线图、流域土壤含水量分析成果图、水利工程调度信息、流域重要断面预测分析成果展示等，实现流域汛情信息综合展示。</w:t>
      </w:r>
    </w:p>
    <w:p>
      <w:pPr>
        <w:spacing w:line="360" w:lineRule="auto"/>
        <w:ind w:firstLine="424" w:firstLineChars="202"/>
        <w:rPr>
          <w:rFonts w:asciiTheme="minorEastAsia" w:hAnsiTheme="minorEastAsia"/>
          <w:szCs w:val="21"/>
        </w:rPr>
      </w:pPr>
      <w:r>
        <w:rPr>
          <w:rFonts w:hint="eastAsia" w:asciiTheme="minorEastAsia" w:hAnsiTheme="minorEastAsia"/>
          <w:szCs w:val="21"/>
        </w:rPr>
        <w:t>对流域上各个流量数据进行集成化信息展示，调度人员通过“一张图”就可了解全流域上的水库泄洪、重要断面的流量等信息。流量数据需要集成自动监测流量、人工观测流量和计算流量，并综合分析当前最新流量在系统上进行显示，同时用户可以查询有流量数据站点的所有来源的流量过程数据。</w:t>
      </w:r>
    </w:p>
    <w:p>
      <w:pPr>
        <w:pStyle w:val="4"/>
        <w:widowControl/>
        <w:numPr>
          <w:ilvl w:val="1"/>
          <w:numId w:val="0"/>
        </w:numPr>
        <w:adjustRightInd/>
        <w:spacing w:line="360" w:lineRule="auto"/>
        <w:ind w:left="576" w:hanging="576"/>
        <w:jc w:val="both"/>
        <w:rPr>
          <w:rFonts w:asciiTheme="minorEastAsia" w:hAnsiTheme="minorEastAsia" w:eastAsiaTheme="minorEastAsia"/>
          <w:sz w:val="21"/>
          <w:szCs w:val="21"/>
        </w:rPr>
      </w:pPr>
      <w:bookmarkStart w:id="118" w:name="_Toc17451426"/>
      <w:bookmarkStart w:id="119" w:name="_Toc23154229"/>
      <w:r>
        <w:rPr>
          <w:rFonts w:hint="eastAsia" w:asciiTheme="minorEastAsia" w:hAnsiTheme="minorEastAsia" w:eastAsiaTheme="minorEastAsia"/>
          <w:sz w:val="21"/>
          <w:szCs w:val="21"/>
        </w:rPr>
        <w:t>五、水情报表及综合报告生成系统</w:t>
      </w:r>
      <w:bookmarkEnd w:id="118"/>
      <w:bookmarkEnd w:id="119"/>
    </w:p>
    <w:p>
      <w:pPr>
        <w:spacing w:line="360" w:lineRule="auto"/>
        <w:ind w:firstLine="420" w:firstLineChars="200"/>
        <w:rPr>
          <w:rFonts w:asciiTheme="minorEastAsia" w:hAnsiTheme="minorEastAsia"/>
          <w:szCs w:val="21"/>
        </w:rPr>
      </w:pPr>
      <w:r>
        <w:rPr>
          <w:rFonts w:hint="eastAsia" w:asciiTheme="minorEastAsia" w:hAnsiTheme="minorEastAsia"/>
          <w:szCs w:val="21"/>
        </w:rPr>
        <w:t>通过后台配置自动生成各类水情报表和综合报告，报告中能生成文字、降雨等值面、降雨等值线、降雨过程图等内容。同时系统可生成各类统计信息，包括水库蓄水量和蓄水率统计、水库蓄水同期对比分析、流域和行政区域面雨量统计、流域分区面雨量历史同期对比分析、行政分区面雨量历史同期对比分析、单站水雨情历史同期对比分析等内容，并可集成到各类报表中。具体报表可分为雨情报表、水情报表和综合报告。具体内容如下：</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20" w:name="_Toc16527372"/>
      <w:bookmarkStart w:id="121" w:name="_Toc17451427"/>
      <w:r>
        <w:rPr>
          <w:rFonts w:hint="eastAsia" w:asciiTheme="minorEastAsia" w:hAnsiTheme="minorEastAsia" w:eastAsiaTheme="minorEastAsia"/>
          <w:sz w:val="21"/>
          <w:szCs w:val="21"/>
        </w:rPr>
        <w:t>5.1雨情报表</w:t>
      </w:r>
      <w:bookmarkEnd w:id="120"/>
      <w:bookmarkEnd w:id="121"/>
    </w:p>
    <w:p>
      <w:pPr>
        <w:spacing w:line="360" w:lineRule="auto"/>
        <w:ind w:firstLine="420" w:firstLineChars="200"/>
        <w:rPr>
          <w:rFonts w:asciiTheme="minorEastAsia" w:hAnsiTheme="minorEastAsia"/>
          <w:szCs w:val="21"/>
        </w:rPr>
      </w:pPr>
      <w:r>
        <w:rPr>
          <w:rFonts w:hint="eastAsia" w:asciiTheme="minorEastAsia" w:hAnsiTheme="minorEastAsia"/>
          <w:szCs w:val="21"/>
        </w:rPr>
        <w:t>雨情报表主要包括流域和</w:t>
      </w:r>
      <w:r>
        <w:rPr>
          <w:rFonts w:asciiTheme="minorEastAsia" w:hAnsiTheme="minorEastAsia"/>
          <w:szCs w:val="21"/>
        </w:rPr>
        <w:t>行政分区</w:t>
      </w:r>
      <w:r>
        <w:rPr>
          <w:rFonts w:hint="eastAsia" w:asciiTheme="minorEastAsia" w:hAnsiTheme="minorEastAsia"/>
          <w:szCs w:val="21"/>
        </w:rPr>
        <w:t>面雨量表、雨量时段极值表、大中型水库库区面雨量表、单站累计降雨量表、重要</w:t>
      </w:r>
      <w:r>
        <w:rPr>
          <w:rFonts w:asciiTheme="minorEastAsia" w:hAnsiTheme="minorEastAsia"/>
          <w:szCs w:val="21"/>
        </w:rPr>
        <w:t>流域多站逐</w:t>
      </w:r>
      <w:r>
        <w:rPr>
          <w:rFonts w:hint="eastAsia" w:asciiTheme="minorEastAsia" w:hAnsiTheme="minorEastAsia"/>
          <w:szCs w:val="21"/>
        </w:rPr>
        <w:t>时</w:t>
      </w:r>
      <w:r>
        <w:rPr>
          <w:rFonts w:asciiTheme="minorEastAsia" w:hAnsiTheme="minorEastAsia"/>
          <w:szCs w:val="21"/>
        </w:rPr>
        <w:t>雨量表</w:t>
      </w:r>
      <w:r>
        <w:rPr>
          <w:rFonts w:hint="eastAsia" w:asciiTheme="minorEastAsia" w:hAnsiTheme="minorEastAsia"/>
          <w:szCs w:val="21"/>
        </w:rPr>
        <w:t>、各流域</w:t>
      </w:r>
      <w:r>
        <w:rPr>
          <w:rFonts w:asciiTheme="minorEastAsia" w:hAnsiTheme="minorEastAsia"/>
          <w:szCs w:val="21"/>
        </w:rPr>
        <w:t>逐</w:t>
      </w:r>
      <w:r>
        <w:rPr>
          <w:rFonts w:hint="eastAsia" w:asciiTheme="minorEastAsia" w:hAnsiTheme="minorEastAsia"/>
          <w:szCs w:val="21"/>
        </w:rPr>
        <w:t>时面雨量</w:t>
      </w:r>
      <w:r>
        <w:rPr>
          <w:rFonts w:asciiTheme="minorEastAsia" w:hAnsiTheme="minorEastAsia"/>
          <w:szCs w:val="21"/>
        </w:rPr>
        <w:t>表</w:t>
      </w:r>
      <w:r>
        <w:rPr>
          <w:rFonts w:hint="eastAsia" w:asciiTheme="minorEastAsia" w:hAnsiTheme="minorEastAsia"/>
          <w:szCs w:val="21"/>
        </w:rPr>
        <w:t>、雨量</w:t>
      </w:r>
      <w:r>
        <w:rPr>
          <w:rFonts w:asciiTheme="minorEastAsia" w:hAnsiTheme="minorEastAsia"/>
          <w:szCs w:val="21"/>
        </w:rPr>
        <w:t>预警统计表</w:t>
      </w:r>
      <w:r>
        <w:rPr>
          <w:rFonts w:hint="eastAsia" w:asciiTheme="minorEastAsia" w:hAnsiTheme="minorEastAsia"/>
          <w:szCs w:val="21"/>
        </w:rPr>
        <w:t>，以及雨情</w:t>
      </w:r>
      <w:r>
        <w:rPr>
          <w:rFonts w:asciiTheme="minorEastAsia" w:hAnsiTheme="minorEastAsia"/>
          <w:szCs w:val="21"/>
        </w:rPr>
        <w:t>报表统计的各要素</w:t>
      </w:r>
      <w:r>
        <w:rPr>
          <w:rFonts w:hint="eastAsia" w:asciiTheme="minorEastAsia" w:hAnsiTheme="minorEastAsia"/>
          <w:szCs w:val="21"/>
        </w:rPr>
        <w:t>与历史同期对比分析。</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22" w:name="_Toc16527373"/>
      <w:bookmarkStart w:id="123" w:name="_Toc17451428"/>
      <w:r>
        <w:rPr>
          <w:rFonts w:hint="eastAsia" w:asciiTheme="minorEastAsia" w:hAnsiTheme="minorEastAsia" w:eastAsiaTheme="minorEastAsia"/>
          <w:sz w:val="21"/>
          <w:szCs w:val="21"/>
        </w:rPr>
        <w:t>5.2水情报表</w:t>
      </w:r>
      <w:bookmarkEnd w:id="122"/>
      <w:bookmarkEnd w:id="123"/>
    </w:p>
    <w:p>
      <w:pPr>
        <w:spacing w:line="360" w:lineRule="auto"/>
        <w:ind w:firstLine="420" w:firstLineChars="200"/>
        <w:rPr>
          <w:rFonts w:asciiTheme="minorEastAsia" w:hAnsiTheme="minorEastAsia"/>
          <w:szCs w:val="21"/>
        </w:rPr>
      </w:pPr>
      <w:r>
        <w:rPr>
          <w:rFonts w:hint="eastAsia" w:asciiTheme="minorEastAsia" w:hAnsiTheme="minorEastAsia"/>
          <w:szCs w:val="21"/>
        </w:rPr>
        <w:t>水情报表主要包括水库蓄水量</w:t>
      </w:r>
      <w:r>
        <w:rPr>
          <w:rFonts w:asciiTheme="minorEastAsia" w:hAnsiTheme="minorEastAsia"/>
          <w:szCs w:val="21"/>
        </w:rPr>
        <w:t>（</w:t>
      </w:r>
      <w:r>
        <w:rPr>
          <w:rFonts w:hint="eastAsia" w:asciiTheme="minorEastAsia" w:hAnsiTheme="minorEastAsia"/>
          <w:szCs w:val="21"/>
        </w:rPr>
        <w:t>率</w:t>
      </w:r>
      <w:r>
        <w:rPr>
          <w:rFonts w:asciiTheme="minorEastAsia" w:hAnsiTheme="minorEastAsia"/>
          <w:szCs w:val="21"/>
        </w:rPr>
        <w:t>）</w:t>
      </w:r>
      <w:r>
        <w:rPr>
          <w:rFonts w:hint="eastAsia" w:asciiTheme="minorEastAsia" w:hAnsiTheme="minorEastAsia"/>
          <w:szCs w:val="21"/>
        </w:rPr>
        <w:t>表、水库可纳雨量表、水库拦蓄水量表、大中型水库运行效益指标表、水库水位过程表、江河水位过程表、潮水位过程表等，报表中对于关键数据进行历史同期对比分析。</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24" w:name="_Toc16527374"/>
      <w:bookmarkStart w:id="125" w:name="_Toc17451429"/>
      <w:r>
        <w:rPr>
          <w:rFonts w:hint="eastAsia" w:asciiTheme="minorEastAsia" w:hAnsiTheme="minorEastAsia" w:eastAsiaTheme="minorEastAsia"/>
          <w:sz w:val="21"/>
          <w:szCs w:val="21"/>
        </w:rPr>
        <w:t>5.3综合报</w:t>
      </w:r>
      <w:bookmarkEnd w:id="124"/>
      <w:r>
        <w:rPr>
          <w:rFonts w:hint="eastAsia" w:asciiTheme="minorEastAsia" w:hAnsiTheme="minorEastAsia" w:eastAsiaTheme="minorEastAsia"/>
          <w:sz w:val="21"/>
          <w:szCs w:val="21"/>
        </w:rPr>
        <w:t>告</w:t>
      </w:r>
      <w:bookmarkEnd w:id="125"/>
    </w:p>
    <w:p>
      <w:pPr>
        <w:spacing w:line="360" w:lineRule="auto"/>
        <w:ind w:firstLine="420" w:firstLineChars="200"/>
        <w:rPr>
          <w:rFonts w:asciiTheme="minorEastAsia" w:hAnsiTheme="minorEastAsia"/>
          <w:szCs w:val="21"/>
        </w:rPr>
      </w:pPr>
      <w:r>
        <w:rPr>
          <w:rFonts w:hint="eastAsia" w:asciiTheme="minorEastAsia" w:hAnsiTheme="minorEastAsia"/>
          <w:szCs w:val="21"/>
        </w:rPr>
        <w:t>综合报告需生成各类综合性分析成果。主要包括：最新水雨情简报、河网超警情况、水库超汛及蓄水情况分析、水雨情日报、水雨情阶段性总结、台风简报、梅雨简报、暴雨简报、领导汇报文档、防御简报等。</w:t>
      </w:r>
    </w:p>
    <w:p>
      <w:pPr>
        <w:pStyle w:val="4"/>
        <w:widowControl/>
        <w:numPr>
          <w:ilvl w:val="1"/>
          <w:numId w:val="0"/>
        </w:numPr>
        <w:adjustRightInd/>
        <w:spacing w:line="360" w:lineRule="auto"/>
        <w:ind w:left="576" w:hanging="576"/>
        <w:jc w:val="both"/>
        <w:rPr>
          <w:rFonts w:asciiTheme="minorEastAsia" w:hAnsiTheme="minorEastAsia" w:eastAsiaTheme="minorEastAsia"/>
          <w:sz w:val="21"/>
          <w:szCs w:val="21"/>
        </w:rPr>
      </w:pPr>
      <w:bookmarkStart w:id="126" w:name="_Toc23154230"/>
      <w:bookmarkStart w:id="127" w:name="_Toc17451430"/>
      <w:r>
        <w:rPr>
          <w:rFonts w:hint="eastAsia" w:asciiTheme="minorEastAsia" w:hAnsiTheme="minorEastAsia" w:eastAsiaTheme="minorEastAsia"/>
          <w:sz w:val="21"/>
          <w:szCs w:val="21"/>
        </w:rPr>
        <w:t>六、水情快报发布及汇报系统</w:t>
      </w:r>
      <w:bookmarkEnd w:id="126"/>
      <w:bookmarkEnd w:id="127"/>
    </w:p>
    <w:p>
      <w:pPr>
        <w:spacing w:line="360" w:lineRule="auto"/>
        <w:ind w:firstLine="424" w:firstLineChars="202"/>
        <w:rPr>
          <w:rFonts w:asciiTheme="minorEastAsia" w:hAnsiTheme="minorEastAsia"/>
          <w:szCs w:val="21"/>
        </w:rPr>
      </w:pPr>
      <w:r>
        <w:rPr>
          <w:rFonts w:hint="eastAsia" w:asciiTheme="minorEastAsia" w:hAnsiTheme="minorEastAsia"/>
          <w:szCs w:val="21"/>
        </w:rPr>
        <w:t>综合展示各类水雨情实时信息和预测预报信息。主要包括：</w:t>
      </w:r>
      <w:r>
        <w:rPr>
          <w:rFonts w:hint="eastAsia" w:asciiTheme="minorEastAsia" w:hAnsiTheme="minorEastAsia"/>
          <w:bCs/>
          <w:szCs w:val="21"/>
        </w:rPr>
        <w:t>降雨空间分布、分区时段降雨和历史同期对比、流域面雨量、河网面雨量、重要水库水情、河道水情、潮汐水情、水库蓄水量空间分布、水库可纳雨量、全市总蓄水和可供水量、最新水情预测预报信息</w:t>
      </w:r>
      <w:r>
        <w:rPr>
          <w:rFonts w:hint="eastAsia" w:asciiTheme="minorEastAsia" w:hAnsiTheme="minorEastAsia"/>
          <w:szCs w:val="21"/>
        </w:rPr>
        <w:t>等。用户通过分页浏览，快速了解当前的水雨情形势。</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28" w:name="_Toc17451431"/>
      <w:r>
        <w:rPr>
          <w:rFonts w:hint="eastAsia" w:asciiTheme="minorEastAsia" w:hAnsiTheme="minorEastAsia" w:eastAsiaTheme="minorEastAsia"/>
          <w:sz w:val="21"/>
          <w:szCs w:val="21"/>
        </w:rPr>
        <w:t>6.1系统总体框架</w:t>
      </w:r>
      <w:bookmarkEnd w:id="128"/>
    </w:p>
    <w:p>
      <w:pPr>
        <w:spacing w:line="360" w:lineRule="auto"/>
        <w:ind w:firstLine="426" w:firstLineChars="202"/>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1)</w:t>
      </w:r>
      <w:r>
        <w:rPr>
          <w:rFonts w:hint="eastAsia" w:asciiTheme="minorEastAsia" w:hAnsiTheme="minorEastAsia"/>
          <w:b/>
          <w:bCs/>
          <w:szCs w:val="21"/>
        </w:rPr>
        <w:t>服务层</w:t>
      </w:r>
    </w:p>
    <w:p>
      <w:pPr>
        <w:spacing w:line="360" w:lineRule="auto"/>
        <w:ind w:firstLine="424" w:firstLineChars="202"/>
        <w:rPr>
          <w:rFonts w:asciiTheme="minorEastAsia" w:hAnsiTheme="minorEastAsia"/>
          <w:szCs w:val="21"/>
        </w:rPr>
      </w:pPr>
      <w:r>
        <w:rPr>
          <w:rFonts w:hint="eastAsia" w:asciiTheme="minorEastAsia" w:hAnsiTheme="minorEastAsia"/>
          <w:szCs w:val="21"/>
        </w:rPr>
        <w:t>服务层为模板层提供数据服务支持，其中包括统计分析服务、等值线面服务、专题图服务和图形服务。</w:t>
      </w:r>
    </w:p>
    <w:p>
      <w:pPr>
        <w:spacing w:line="360" w:lineRule="auto"/>
        <w:ind w:firstLine="426" w:firstLineChars="202"/>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2)</w:t>
      </w:r>
      <w:r>
        <w:rPr>
          <w:rFonts w:hint="eastAsia" w:asciiTheme="minorEastAsia" w:hAnsiTheme="minorEastAsia"/>
          <w:b/>
          <w:bCs/>
          <w:szCs w:val="21"/>
        </w:rPr>
        <w:t>模板层</w:t>
      </w:r>
    </w:p>
    <w:p>
      <w:pPr>
        <w:spacing w:line="360" w:lineRule="auto"/>
        <w:ind w:firstLine="424" w:firstLineChars="202"/>
        <w:rPr>
          <w:rFonts w:asciiTheme="minorEastAsia" w:hAnsiTheme="minorEastAsia"/>
          <w:szCs w:val="21"/>
        </w:rPr>
      </w:pPr>
      <w:r>
        <w:rPr>
          <w:rFonts w:hint="eastAsia" w:asciiTheme="minorEastAsia" w:hAnsiTheme="minorEastAsia"/>
          <w:szCs w:val="21"/>
        </w:rPr>
        <w:t>系统可以根据应用需求，定制出各种分析单元，主要包括表格模板、文字模板、图形模板以及专题图模板四大类。</w:t>
      </w:r>
    </w:p>
    <w:p>
      <w:pPr>
        <w:spacing w:line="360" w:lineRule="auto"/>
        <w:ind w:firstLine="426" w:firstLineChars="202"/>
        <w:rPr>
          <w:rFonts w:asciiTheme="minorEastAsia" w:hAnsiTheme="minorEastAsia"/>
          <w:b/>
          <w:bCs/>
          <w:szCs w:val="21"/>
        </w:rPr>
      </w:pPr>
      <w:r>
        <w:rPr>
          <w:rFonts w:hint="eastAsia" w:asciiTheme="minorEastAsia" w:hAnsiTheme="minorEastAsia"/>
          <w:b/>
          <w:bCs/>
          <w:szCs w:val="21"/>
        </w:rPr>
        <w:t>(</w:t>
      </w:r>
      <w:r>
        <w:rPr>
          <w:rFonts w:asciiTheme="minorEastAsia" w:hAnsiTheme="minorEastAsia"/>
          <w:b/>
          <w:bCs/>
          <w:szCs w:val="21"/>
        </w:rPr>
        <w:t>3)</w:t>
      </w:r>
      <w:r>
        <w:rPr>
          <w:rFonts w:hint="eastAsia" w:asciiTheme="minorEastAsia" w:hAnsiTheme="minorEastAsia"/>
          <w:b/>
          <w:bCs/>
          <w:szCs w:val="21"/>
        </w:rPr>
        <w:t>应用层</w:t>
      </w:r>
    </w:p>
    <w:p>
      <w:pPr>
        <w:spacing w:line="360" w:lineRule="auto"/>
        <w:ind w:firstLine="424" w:firstLineChars="202"/>
        <w:rPr>
          <w:rFonts w:asciiTheme="minorEastAsia" w:hAnsiTheme="minorEastAsia"/>
          <w:szCs w:val="21"/>
        </w:rPr>
      </w:pPr>
      <w:r>
        <w:rPr>
          <w:rFonts w:hint="eastAsia" w:asciiTheme="minorEastAsia" w:hAnsiTheme="minorEastAsia"/>
          <w:szCs w:val="21"/>
        </w:rPr>
        <w:t>应用层由水情报表系统、水情分析报告生成系统和水情汇报系统三部分组成。各个系统均有一个配置模块相对应，可实现对各个报表、报告或汇报演示系统的动态配置。</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29" w:name="_Toc17451432"/>
      <w:r>
        <w:rPr>
          <w:rFonts w:hint="eastAsia" w:asciiTheme="minorEastAsia" w:hAnsiTheme="minorEastAsia" w:eastAsiaTheme="minorEastAsia"/>
          <w:sz w:val="21"/>
          <w:szCs w:val="21"/>
        </w:rPr>
        <w:t>6.2基础服务组件开发</w:t>
      </w:r>
      <w:bookmarkEnd w:id="129"/>
    </w:p>
    <w:p>
      <w:pPr>
        <w:spacing w:line="360" w:lineRule="auto"/>
        <w:ind w:firstLine="426" w:firstLineChars="202"/>
        <w:rPr>
          <w:rFonts w:asciiTheme="minorEastAsia" w:hAnsiTheme="minorEastAsia"/>
          <w:szCs w:val="21"/>
        </w:rPr>
      </w:pPr>
      <w:r>
        <w:rPr>
          <w:rFonts w:hint="eastAsia" w:asciiTheme="minorEastAsia" w:hAnsiTheme="minorEastAsia"/>
          <w:b/>
          <w:szCs w:val="21"/>
        </w:rPr>
        <w:t>数据统计服务：</w:t>
      </w:r>
      <w:r>
        <w:rPr>
          <w:rFonts w:hint="eastAsia" w:asciiTheme="minorEastAsia" w:hAnsiTheme="minorEastAsia"/>
          <w:szCs w:val="21"/>
        </w:rPr>
        <w:t>所有的实时水雨情数据和历史水雨情数据都通过数据统计服务进行数据生成，并返回给报表模板生成实时报表子单元。</w:t>
      </w:r>
    </w:p>
    <w:p>
      <w:pPr>
        <w:spacing w:line="360" w:lineRule="auto"/>
        <w:ind w:firstLine="426" w:firstLineChars="202"/>
        <w:rPr>
          <w:rFonts w:asciiTheme="minorEastAsia" w:hAnsiTheme="minorEastAsia"/>
          <w:szCs w:val="21"/>
        </w:rPr>
      </w:pPr>
      <w:r>
        <w:rPr>
          <w:rFonts w:hint="eastAsia" w:asciiTheme="minorEastAsia" w:hAnsiTheme="minorEastAsia"/>
          <w:b/>
          <w:szCs w:val="21"/>
        </w:rPr>
        <w:t>图形生成服务：</w:t>
      </w:r>
      <w:r>
        <w:rPr>
          <w:rFonts w:hint="eastAsia" w:asciiTheme="minorEastAsia" w:hAnsiTheme="minorEastAsia"/>
          <w:szCs w:val="21"/>
        </w:rPr>
        <w:t>在报表模板中有需要生成柱状图、过程图、饼状图等图形时，可通过调用该图形生成服务获取图片，并返回给报表模板。</w:t>
      </w:r>
    </w:p>
    <w:p>
      <w:pPr>
        <w:spacing w:line="360" w:lineRule="auto"/>
        <w:ind w:firstLine="426" w:firstLineChars="202"/>
        <w:rPr>
          <w:rFonts w:asciiTheme="minorEastAsia" w:hAnsiTheme="minorEastAsia"/>
          <w:szCs w:val="21"/>
        </w:rPr>
      </w:pPr>
      <w:r>
        <w:rPr>
          <w:rFonts w:hint="eastAsia" w:asciiTheme="minorEastAsia" w:hAnsiTheme="minorEastAsia"/>
          <w:b/>
          <w:szCs w:val="21"/>
        </w:rPr>
        <w:t>雨量分布图生成服务：</w:t>
      </w:r>
      <w:r>
        <w:rPr>
          <w:rFonts w:hint="eastAsia" w:asciiTheme="minorEastAsia" w:hAnsiTheme="minorEastAsia"/>
          <w:szCs w:val="21"/>
        </w:rPr>
        <w:t>调用降雨空间分布展示系统中的成果服务。</w:t>
      </w:r>
    </w:p>
    <w:p>
      <w:pPr>
        <w:spacing w:line="360" w:lineRule="auto"/>
        <w:ind w:firstLine="426" w:firstLineChars="202"/>
        <w:rPr>
          <w:rFonts w:asciiTheme="minorEastAsia" w:hAnsiTheme="minorEastAsia"/>
          <w:szCs w:val="21"/>
        </w:rPr>
      </w:pPr>
      <w:r>
        <w:rPr>
          <w:rFonts w:hint="eastAsia" w:asciiTheme="minorEastAsia" w:hAnsiTheme="minorEastAsia"/>
          <w:b/>
          <w:szCs w:val="21"/>
        </w:rPr>
        <w:t>专题图生成服务：</w:t>
      </w:r>
      <w:r>
        <w:rPr>
          <w:rFonts w:hint="eastAsia" w:asciiTheme="minorEastAsia" w:hAnsiTheme="minorEastAsia"/>
          <w:szCs w:val="21"/>
        </w:rPr>
        <w:t>在生成报告时有需要以地图为底图，生成地图专题图时，可调用专题图服务，生成专题图图片，并返回给报告模板。</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30" w:name="_Toc17451433"/>
      <w:r>
        <w:rPr>
          <w:rFonts w:hint="eastAsia" w:asciiTheme="minorEastAsia" w:hAnsiTheme="minorEastAsia" w:eastAsiaTheme="minorEastAsia"/>
          <w:sz w:val="21"/>
          <w:szCs w:val="21"/>
        </w:rPr>
        <w:t>6.3单元模板构建</w:t>
      </w:r>
      <w:bookmarkEnd w:id="130"/>
    </w:p>
    <w:p>
      <w:pPr>
        <w:spacing w:line="360" w:lineRule="auto"/>
        <w:ind w:firstLine="424" w:firstLineChars="202"/>
        <w:rPr>
          <w:rFonts w:asciiTheme="minorEastAsia" w:hAnsiTheme="minorEastAsia"/>
          <w:szCs w:val="21"/>
        </w:rPr>
      </w:pPr>
      <w:r>
        <w:rPr>
          <w:rFonts w:hint="eastAsia" w:asciiTheme="minorEastAsia" w:hAnsiTheme="minorEastAsia"/>
          <w:szCs w:val="21"/>
        </w:rPr>
        <w:t>单元模板包括：水雨情综述、水雨情地图化显示、降雨空间分布展示、较大雨量站点雨量、行政和</w:t>
      </w:r>
      <w:r>
        <w:rPr>
          <w:rFonts w:asciiTheme="minorEastAsia" w:hAnsiTheme="minorEastAsia"/>
          <w:szCs w:val="21"/>
        </w:rPr>
        <w:t>流域</w:t>
      </w:r>
      <w:r>
        <w:rPr>
          <w:rFonts w:hint="eastAsia" w:asciiTheme="minorEastAsia" w:hAnsiTheme="minorEastAsia"/>
          <w:szCs w:val="21"/>
        </w:rPr>
        <w:t>分区</w:t>
      </w:r>
      <w:r>
        <w:rPr>
          <w:rFonts w:asciiTheme="minorEastAsia" w:hAnsiTheme="minorEastAsia"/>
          <w:szCs w:val="21"/>
        </w:rPr>
        <w:t>面雨量</w:t>
      </w:r>
      <w:r>
        <w:rPr>
          <w:rFonts w:hint="eastAsia" w:asciiTheme="minorEastAsia" w:hAnsiTheme="minorEastAsia"/>
          <w:szCs w:val="21"/>
        </w:rPr>
        <w:t>、时段行政</w:t>
      </w:r>
      <w:r>
        <w:rPr>
          <w:rFonts w:asciiTheme="minorEastAsia" w:hAnsiTheme="minorEastAsia"/>
          <w:szCs w:val="21"/>
        </w:rPr>
        <w:t>或流域分区</w:t>
      </w:r>
      <w:r>
        <w:rPr>
          <w:rFonts w:hint="eastAsia" w:asciiTheme="minorEastAsia" w:hAnsiTheme="minorEastAsia"/>
          <w:szCs w:val="21"/>
        </w:rPr>
        <w:t>面雨量</w:t>
      </w:r>
      <w:r>
        <w:rPr>
          <w:rFonts w:asciiTheme="minorEastAsia" w:hAnsiTheme="minorEastAsia"/>
          <w:szCs w:val="21"/>
        </w:rPr>
        <w:t>与历史</w:t>
      </w:r>
      <w:r>
        <w:rPr>
          <w:rFonts w:hint="eastAsia" w:asciiTheme="minorEastAsia" w:hAnsiTheme="minorEastAsia"/>
          <w:szCs w:val="21"/>
        </w:rPr>
        <w:t>同期对比、全市主要河道实时水情、全市水库蓄水分布图、水库纳蓄能力分析、全市各类水库蓄水总量、</w:t>
      </w:r>
      <w:r>
        <w:rPr>
          <w:rFonts w:asciiTheme="minorEastAsia" w:hAnsiTheme="minorEastAsia"/>
          <w:szCs w:val="21"/>
        </w:rPr>
        <w:t>气象预测信息</w:t>
      </w:r>
      <w:r>
        <w:rPr>
          <w:rFonts w:hint="eastAsia" w:asciiTheme="minorEastAsia" w:hAnsiTheme="minorEastAsia"/>
          <w:szCs w:val="21"/>
        </w:rPr>
        <w:t>、水文预测分析成果展示、</w:t>
      </w:r>
      <w:r>
        <w:rPr>
          <w:rFonts w:asciiTheme="minorEastAsia" w:hAnsiTheme="minorEastAsia"/>
          <w:szCs w:val="21"/>
        </w:rPr>
        <w:t>全市水利工程调度运行、水利工程抢险</w:t>
      </w:r>
      <w:r>
        <w:rPr>
          <w:rFonts w:hint="eastAsia" w:asciiTheme="minorEastAsia" w:hAnsiTheme="minorEastAsia"/>
          <w:szCs w:val="21"/>
        </w:rPr>
        <w:t>技术</w:t>
      </w:r>
      <w:r>
        <w:rPr>
          <w:rFonts w:asciiTheme="minorEastAsia" w:hAnsiTheme="minorEastAsia"/>
          <w:szCs w:val="21"/>
        </w:rPr>
        <w:t>支撑</w:t>
      </w:r>
      <w:r>
        <w:rPr>
          <w:rFonts w:hint="eastAsia" w:asciiTheme="minorEastAsia" w:hAnsiTheme="minorEastAsia"/>
          <w:szCs w:val="21"/>
        </w:rPr>
        <w:t>等。</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31" w:name="_Toc17451434"/>
      <w:r>
        <w:rPr>
          <w:rFonts w:hint="eastAsia" w:asciiTheme="minorEastAsia" w:hAnsiTheme="minorEastAsia" w:eastAsiaTheme="minorEastAsia"/>
          <w:sz w:val="21"/>
          <w:szCs w:val="21"/>
        </w:rPr>
        <w:t>6.4水情快报发布子系统</w:t>
      </w:r>
      <w:bookmarkEnd w:id="131"/>
    </w:p>
    <w:p>
      <w:pPr>
        <w:spacing w:line="360" w:lineRule="auto"/>
        <w:ind w:firstLine="424" w:firstLineChars="202"/>
        <w:rPr>
          <w:rFonts w:asciiTheme="minorEastAsia" w:hAnsiTheme="minorEastAsia"/>
          <w:szCs w:val="21"/>
        </w:rPr>
      </w:pPr>
      <w:r>
        <w:rPr>
          <w:rFonts w:hint="eastAsia" w:asciiTheme="minorEastAsia" w:hAnsiTheme="minorEastAsia"/>
          <w:szCs w:val="21"/>
        </w:rPr>
        <w:t>水情快报内容基于单元模板进行配置，管理员可根据不同时期（如台风期、梅雨期等）的需求</w:t>
      </w:r>
      <w:r>
        <w:rPr>
          <w:rFonts w:asciiTheme="minorEastAsia" w:hAnsiTheme="minorEastAsia"/>
          <w:szCs w:val="21"/>
        </w:rPr>
        <w:t>，</w:t>
      </w:r>
      <w:r>
        <w:rPr>
          <w:rFonts w:hint="eastAsia" w:asciiTheme="minorEastAsia" w:hAnsiTheme="minorEastAsia"/>
          <w:szCs w:val="21"/>
        </w:rPr>
        <w:t>对水情快报内容进行个性化配置，系统根据配置实时生成水情快报信息。用户可通过WEB页面</w:t>
      </w:r>
      <w:r>
        <w:rPr>
          <w:rFonts w:asciiTheme="minorEastAsia" w:hAnsiTheme="minorEastAsia"/>
          <w:szCs w:val="21"/>
        </w:rPr>
        <w:t>（</w:t>
      </w:r>
      <w:r>
        <w:rPr>
          <w:rFonts w:hint="eastAsia" w:asciiTheme="minorEastAsia" w:hAnsiTheme="minorEastAsia"/>
          <w:szCs w:val="21"/>
        </w:rPr>
        <w:t>页面</w:t>
      </w:r>
      <w:r>
        <w:rPr>
          <w:rFonts w:asciiTheme="minorEastAsia" w:hAnsiTheme="minorEastAsia"/>
          <w:szCs w:val="21"/>
        </w:rPr>
        <w:t>滚动和</w:t>
      </w:r>
      <w:r>
        <w:rPr>
          <w:rFonts w:hint="eastAsia" w:asciiTheme="minorEastAsia" w:hAnsiTheme="minorEastAsia"/>
          <w:szCs w:val="21"/>
        </w:rPr>
        <w:t>快速导航</w:t>
      </w:r>
      <w:r>
        <w:rPr>
          <w:rFonts w:asciiTheme="minorEastAsia" w:hAnsiTheme="minorEastAsia"/>
          <w:szCs w:val="21"/>
        </w:rPr>
        <w:t>）</w:t>
      </w:r>
      <w:r>
        <w:rPr>
          <w:rFonts w:hint="eastAsia" w:asciiTheme="minorEastAsia" w:hAnsiTheme="minorEastAsia"/>
          <w:szCs w:val="21"/>
        </w:rPr>
        <w:t>展示，</w:t>
      </w:r>
      <w:r>
        <w:rPr>
          <w:rFonts w:asciiTheme="minorEastAsia" w:hAnsiTheme="minorEastAsia"/>
          <w:szCs w:val="21"/>
        </w:rPr>
        <w:t>并</w:t>
      </w:r>
      <w:r>
        <w:rPr>
          <w:rFonts w:hint="eastAsia" w:asciiTheme="minorEastAsia" w:hAnsiTheme="minorEastAsia"/>
          <w:szCs w:val="21"/>
        </w:rPr>
        <w:t>可</w:t>
      </w:r>
      <w:r>
        <w:rPr>
          <w:rFonts w:asciiTheme="minorEastAsia" w:hAnsiTheme="minorEastAsia"/>
          <w:szCs w:val="21"/>
        </w:rPr>
        <w:t>自动生成</w:t>
      </w:r>
      <w:r>
        <w:rPr>
          <w:rFonts w:hint="eastAsia" w:asciiTheme="minorEastAsia" w:hAnsiTheme="minorEastAsia"/>
          <w:szCs w:val="21"/>
        </w:rPr>
        <w:t>word</w:t>
      </w:r>
      <w:r>
        <w:rPr>
          <w:rFonts w:asciiTheme="minorEastAsia" w:hAnsiTheme="minorEastAsia"/>
          <w:szCs w:val="21"/>
        </w:rPr>
        <w:t>文本</w:t>
      </w:r>
      <w:r>
        <w:rPr>
          <w:rFonts w:hint="eastAsia" w:asciiTheme="minorEastAsia" w:hAnsiTheme="minorEastAsia"/>
          <w:szCs w:val="21"/>
        </w:rPr>
        <w:t>，供</w:t>
      </w:r>
      <w:r>
        <w:rPr>
          <w:rFonts w:asciiTheme="minorEastAsia" w:hAnsiTheme="minorEastAsia"/>
          <w:szCs w:val="21"/>
        </w:rPr>
        <w:t>下载</w:t>
      </w:r>
      <w:r>
        <w:rPr>
          <w:rFonts w:hint="eastAsia" w:asciiTheme="minorEastAsia" w:hAnsiTheme="minorEastAsia"/>
          <w:szCs w:val="21"/>
        </w:rPr>
        <w:t>保存</w:t>
      </w:r>
      <w:r>
        <w:rPr>
          <w:rFonts w:asciiTheme="minorEastAsia" w:hAnsiTheme="minorEastAsia"/>
          <w:szCs w:val="21"/>
        </w:rPr>
        <w:t>。</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32" w:name="_Toc17451435"/>
      <w:r>
        <w:rPr>
          <w:rFonts w:hint="eastAsia" w:asciiTheme="minorEastAsia" w:hAnsiTheme="minorEastAsia" w:eastAsiaTheme="minorEastAsia"/>
          <w:sz w:val="21"/>
          <w:szCs w:val="21"/>
        </w:rPr>
        <w:t>6.5水情汇报子系统</w:t>
      </w:r>
      <w:bookmarkEnd w:id="132"/>
    </w:p>
    <w:p>
      <w:pPr>
        <w:spacing w:line="360" w:lineRule="auto"/>
        <w:ind w:firstLine="424" w:firstLineChars="202"/>
        <w:rPr>
          <w:rFonts w:asciiTheme="minorEastAsia" w:hAnsiTheme="minorEastAsia"/>
          <w:szCs w:val="21"/>
        </w:rPr>
      </w:pPr>
      <w:r>
        <w:rPr>
          <w:rFonts w:hint="eastAsia" w:asciiTheme="minorEastAsia" w:hAnsiTheme="minorEastAsia"/>
          <w:szCs w:val="21"/>
        </w:rPr>
        <w:t>用户</w:t>
      </w:r>
      <w:r>
        <w:rPr>
          <w:rFonts w:asciiTheme="minorEastAsia" w:hAnsiTheme="minorEastAsia"/>
          <w:szCs w:val="21"/>
        </w:rPr>
        <w:t>可</w:t>
      </w:r>
      <w:r>
        <w:rPr>
          <w:rFonts w:hint="eastAsia" w:asciiTheme="minorEastAsia" w:hAnsiTheme="minorEastAsia"/>
          <w:szCs w:val="21"/>
        </w:rPr>
        <w:t>基于单元模板定制一些常用的汇报方案，如梅雨期汇报方案、台风期汇报方案、短历时暴雨汇报方案等，以及每场降雨洪水过程分阶段形成汇报模板，包括降雨前、降雨过程中、降雨后期等。</w:t>
      </w:r>
    </w:p>
    <w:p>
      <w:pPr>
        <w:spacing w:line="360" w:lineRule="auto"/>
        <w:ind w:firstLine="424" w:firstLineChars="202"/>
        <w:rPr>
          <w:rFonts w:asciiTheme="minorEastAsia" w:hAnsiTheme="minorEastAsia"/>
          <w:szCs w:val="21"/>
        </w:rPr>
      </w:pPr>
      <w:r>
        <w:rPr>
          <w:rFonts w:hint="eastAsia" w:asciiTheme="minorEastAsia" w:hAnsiTheme="minorEastAsia"/>
          <w:szCs w:val="21"/>
        </w:rPr>
        <w:t>用户可以在汇报方案的基础上对方案内容进行修改和配置，并可对汇报内容增加自定义标注，生成水情在线汇报内容。系统需能通过WEB页面</w:t>
      </w:r>
      <w:r>
        <w:rPr>
          <w:rFonts w:asciiTheme="minorEastAsia" w:hAnsiTheme="minorEastAsia"/>
          <w:szCs w:val="21"/>
        </w:rPr>
        <w:t>（</w:t>
      </w:r>
      <w:r>
        <w:rPr>
          <w:rFonts w:hint="eastAsia" w:asciiTheme="minorEastAsia" w:hAnsiTheme="minorEastAsia"/>
          <w:szCs w:val="21"/>
        </w:rPr>
        <w:t>页面</w:t>
      </w:r>
      <w:r>
        <w:rPr>
          <w:rFonts w:asciiTheme="minorEastAsia" w:hAnsiTheme="minorEastAsia"/>
          <w:szCs w:val="21"/>
        </w:rPr>
        <w:t>滚动和</w:t>
      </w:r>
      <w:r>
        <w:rPr>
          <w:rFonts w:hint="eastAsia" w:asciiTheme="minorEastAsia" w:hAnsiTheme="minorEastAsia"/>
          <w:szCs w:val="21"/>
        </w:rPr>
        <w:t>快速导航</w:t>
      </w:r>
      <w:r>
        <w:rPr>
          <w:rFonts w:asciiTheme="minorEastAsia" w:hAnsiTheme="minorEastAsia"/>
          <w:szCs w:val="21"/>
        </w:rPr>
        <w:t>）</w:t>
      </w:r>
      <w:r>
        <w:rPr>
          <w:rFonts w:hint="eastAsia" w:asciiTheme="minorEastAsia" w:hAnsiTheme="minorEastAsia"/>
          <w:szCs w:val="21"/>
        </w:rPr>
        <w:t>展示指定汇报内容，</w:t>
      </w:r>
      <w:r>
        <w:rPr>
          <w:rFonts w:asciiTheme="minorEastAsia" w:hAnsiTheme="minorEastAsia"/>
          <w:szCs w:val="21"/>
        </w:rPr>
        <w:t>也</w:t>
      </w:r>
      <w:r>
        <w:rPr>
          <w:rFonts w:hint="eastAsia" w:asciiTheme="minorEastAsia" w:hAnsiTheme="minorEastAsia"/>
          <w:szCs w:val="21"/>
        </w:rPr>
        <w:t>能</w:t>
      </w:r>
      <w:r>
        <w:rPr>
          <w:rFonts w:asciiTheme="minorEastAsia" w:hAnsiTheme="minorEastAsia"/>
          <w:szCs w:val="21"/>
        </w:rPr>
        <w:t>自动生成汇报</w:t>
      </w:r>
      <w:r>
        <w:rPr>
          <w:rFonts w:hint="eastAsia" w:asciiTheme="minorEastAsia" w:hAnsiTheme="minorEastAsia"/>
          <w:szCs w:val="21"/>
        </w:rPr>
        <w:t>PPT，</w:t>
      </w:r>
      <w:r>
        <w:rPr>
          <w:rFonts w:asciiTheme="minorEastAsia" w:hAnsiTheme="minorEastAsia"/>
          <w:szCs w:val="21"/>
        </w:rPr>
        <w:t>导出使用</w:t>
      </w:r>
      <w:r>
        <w:rPr>
          <w:rFonts w:hint="eastAsia" w:asciiTheme="minorEastAsia" w:hAnsiTheme="minorEastAsia"/>
          <w:szCs w:val="21"/>
        </w:rPr>
        <w:t>。</w:t>
      </w:r>
    </w:p>
    <w:p>
      <w:pPr>
        <w:pStyle w:val="4"/>
        <w:widowControl/>
        <w:numPr>
          <w:ilvl w:val="1"/>
          <w:numId w:val="0"/>
        </w:numPr>
        <w:adjustRightInd/>
        <w:spacing w:line="360" w:lineRule="auto"/>
        <w:ind w:left="576" w:hanging="576"/>
        <w:jc w:val="both"/>
        <w:rPr>
          <w:rFonts w:asciiTheme="minorEastAsia" w:hAnsiTheme="minorEastAsia" w:eastAsiaTheme="minorEastAsia"/>
          <w:sz w:val="21"/>
          <w:szCs w:val="21"/>
        </w:rPr>
      </w:pPr>
      <w:bookmarkStart w:id="133" w:name="_Toc23154231"/>
      <w:bookmarkStart w:id="134" w:name="_Toc17451436"/>
      <w:r>
        <w:rPr>
          <w:rFonts w:hint="eastAsia" w:asciiTheme="minorEastAsia" w:hAnsiTheme="minorEastAsia" w:eastAsiaTheme="minorEastAsia"/>
          <w:sz w:val="21"/>
          <w:szCs w:val="21"/>
        </w:rPr>
        <w:t>七、水旱灾害防御管理系统</w:t>
      </w:r>
      <w:bookmarkEnd w:id="133"/>
      <w:bookmarkEnd w:id="134"/>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将日常水旱灾害防御相关的各类工作集成到平台上，提高工作效率，并实现各类信息的无纸化办公。</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7.1防汛值班管理</w:t>
      </w:r>
    </w:p>
    <w:p>
      <w:pPr>
        <w:pStyle w:val="20"/>
        <w:rPr>
          <w:rFonts w:cs="仿宋_GB2312" w:asciiTheme="minorEastAsia" w:hAnsiTheme="minorEastAsia" w:eastAsiaTheme="minorEastAsia"/>
          <w:sz w:val="21"/>
          <w:szCs w:val="21"/>
        </w:rPr>
      </w:pPr>
      <w:bookmarkStart w:id="135" w:name="_Toc17451437"/>
      <w:r>
        <w:rPr>
          <w:rFonts w:hint="eastAsia" w:cs="仿宋_GB2312" w:asciiTheme="minorEastAsia" w:hAnsiTheme="minorEastAsia" w:eastAsiaTheme="minorEastAsia"/>
          <w:sz w:val="21"/>
          <w:szCs w:val="21"/>
        </w:rPr>
        <w:t>防汛值班管理分日常防汛值班和应急响应值班管理，系统可根据预置的值班人员，自动进行人员排班并可根据实际需要进行调整，同时系统需提供应急响应和节假日期间的特殊排班需求，进行自动排班。系统可根据值班计划，对值班人员发送提醒短信。</w:t>
      </w:r>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系统</w:t>
      </w:r>
      <w:r>
        <w:rPr>
          <w:rFonts w:cs="仿宋_GB2312" w:asciiTheme="minorEastAsia" w:hAnsiTheme="minorEastAsia" w:eastAsiaTheme="minorEastAsia"/>
          <w:sz w:val="21"/>
          <w:szCs w:val="21"/>
        </w:rPr>
        <w:t>可根据排班情况</w:t>
      </w:r>
      <w:r>
        <w:rPr>
          <w:rFonts w:hint="eastAsia" w:cs="仿宋_GB2312" w:asciiTheme="minorEastAsia" w:hAnsiTheme="minorEastAsia" w:eastAsiaTheme="minorEastAsia"/>
          <w:sz w:val="21"/>
          <w:szCs w:val="21"/>
        </w:rPr>
        <w:t>，</w:t>
      </w:r>
      <w:r>
        <w:rPr>
          <w:rFonts w:cs="仿宋_GB2312" w:asciiTheme="minorEastAsia" w:hAnsiTheme="minorEastAsia" w:eastAsiaTheme="minorEastAsia"/>
          <w:sz w:val="21"/>
          <w:szCs w:val="21"/>
        </w:rPr>
        <w:t>人工勾选是否调休，保存后自动生成防汛值班调休表和</w:t>
      </w:r>
      <w:r>
        <w:rPr>
          <w:rFonts w:hint="eastAsia" w:cs="仿宋_GB2312" w:asciiTheme="minorEastAsia" w:hAnsiTheme="minorEastAsia" w:eastAsiaTheme="minorEastAsia"/>
          <w:sz w:val="21"/>
          <w:szCs w:val="21"/>
        </w:rPr>
        <w:t>值班餐补登记</w:t>
      </w:r>
      <w:r>
        <w:rPr>
          <w:rFonts w:cs="仿宋_GB2312" w:asciiTheme="minorEastAsia" w:hAnsiTheme="minorEastAsia" w:eastAsiaTheme="minorEastAsia"/>
          <w:sz w:val="21"/>
          <w:szCs w:val="21"/>
        </w:rPr>
        <w:t>表。</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7.2防汛信息登记</w:t>
      </w:r>
      <w:bookmarkEnd w:id="135"/>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预警通告单登记：</w:t>
      </w:r>
      <w:r>
        <w:rPr>
          <w:rFonts w:hint="eastAsia" w:cs="仿宋_GB2312" w:asciiTheme="minorEastAsia" w:hAnsiTheme="minorEastAsia" w:eastAsiaTheme="minorEastAsia"/>
          <w:sz w:val="21"/>
          <w:szCs w:val="21"/>
        </w:rPr>
        <w:t>对当前的预警系统进行升级改造，能将发布的预警通告单自动接入到系统中，自动统计预警通告单份数，并可查看已下发的通告单信息，包括下发时间，下发内容，下发单位等相关信息。</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防汛部门响应登记：</w:t>
      </w:r>
      <w:r>
        <w:rPr>
          <w:rFonts w:hint="eastAsia" w:cs="仿宋_GB2312" w:asciiTheme="minorEastAsia" w:hAnsiTheme="minorEastAsia" w:eastAsiaTheme="minorEastAsia"/>
          <w:sz w:val="21"/>
          <w:szCs w:val="21"/>
        </w:rPr>
        <w:t>各级防汛部门可通过该系统录入当前的应急响应情况，其中包括响应等级、响应内容、响应启动时间及响应文件等相关信息。</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气象预报登记：</w:t>
      </w:r>
      <w:r>
        <w:rPr>
          <w:rFonts w:hint="eastAsia" w:cs="仿宋_GB2312" w:asciiTheme="minorEastAsia" w:hAnsiTheme="minorEastAsia" w:eastAsiaTheme="minorEastAsia"/>
          <w:sz w:val="21"/>
          <w:szCs w:val="21"/>
        </w:rPr>
        <w:t>可通过系统查看气象网站信息，并具备重要气象预报信息自动在线录入功能。可将</w:t>
      </w:r>
      <w:r>
        <w:rPr>
          <w:rFonts w:cs="仿宋_GB2312" w:asciiTheme="minorEastAsia" w:hAnsiTheme="minorEastAsia" w:eastAsiaTheme="minorEastAsia"/>
          <w:sz w:val="21"/>
          <w:szCs w:val="21"/>
        </w:rPr>
        <w:t>重要天气报告</w:t>
      </w:r>
      <w:r>
        <w:rPr>
          <w:rFonts w:hint="eastAsia" w:cs="仿宋_GB2312" w:asciiTheme="minorEastAsia" w:hAnsiTheme="minorEastAsia" w:eastAsiaTheme="minorEastAsia"/>
          <w:sz w:val="21"/>
          <w:szCs w:val="21"/>
        </w:rPr>
        <w:t>、</w:t>
      </w:r>
      <w:r>
        <w:rPr>
          <w:rFonts w:cs="仿宋_GB2312" w:asciiTheme="minorEastAsia" w:hAnsiTheme="minorEastAsia" w:eastAsiaTheme="minorEastAsia"/>
          <w:sz w:val="21"/>
          <w:szCs w:val="21"/>
        </w:rPr>
        <w:t>每周</w:t>
      </w:r>
      <w:r>
        <w:rPr>
          <w:rFonts w:hint="eastAsia" w:cs="仿宋_GB2312" w:asciiTheme="minorEastAsia" w:hAnsiTheme="minorEastAsia" w:eastAsiaTheme="minorEastAsia"/>
          <w:sz w:val="21"/>
          <w:szCs w:val="21"/>
        </w:rPr>
        <w:t>天气</w:t>
      </w:r>
      <w:r>
        <w:rPr>
          <w:rFonts w:cs="仿宋_GB2312" w:asciiTheme="minorEastAsia" w:hAnsiTheme="minorEastAsia" w:eastAsiaTheme="minorEastAsia"/>
          <w:sz w:val="21"/>
          <w:szCs w:val="21"/>
        </w:rPr>
        <w:t>报告等</w:t>
      </w:r>
      <w:r>
        <w:rPr>
          <w:rFonts w:hint="eastAsia" w:cs="仿宋_GB2312" w:asciiTheme="minorEastAsia" w:hAnsiTheme="minorEastAsia" w:eastAsiaTheme="minorEastAsia"/>
          <w:sz w:val="21"/>
          <w:szCs w:val="21"/>
        </w:rPr>
        <w:t>气象</w:t>
      </w:r>
      <w:r>
        <w:rPr>
          <w:rFonts w:cs="仿宋_GB2312" w:asciiTheme="minorEastAsia" w:hAnsiTheme="minorEastAsia" w:eastAsiaTheme="minorEastAsia"/>
          <w:sz w:val="21"/>
          <w:szCs w:val="21"/>
        </w:rPr>
        <w:t>预报</w:t>
      </w:r>
      <w:r>
        <w:rPr>
          <w:rFonts w:hint="eastAsia" w:cs="仿宋_GB2312" w:asciiTheme="minorEastAsia" w:hAnsiTheme="minorEastAsia" w:eastAsiaTheme="minorEastAsia"/>
          <w:sz w:val="21"/>
          <w:szCs w:val="21"/>
        </w:rPr>
        <w:t>报告</w:t>
      </w:r>
      <w:r>
        <w:rPr>
          <w:rFonts w:cs="仿宋_GB2312" w:asciiTheme="minorEastAsia" w:hAnsiTheme="minorEastAsia" w:eastAsiaTheme="minorEastAsia"/>
          <w:sz w:val="21"/>
          <w:szCs w:val="21"/>
        </w:rPr>
        <w:t>上传至系统。</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防御信息登记上报：</w:t>
      </w:r>
      <w:r>
        <w:rPr>
          <w:rFonts w:hint="eastAsia" w:cs="仿宋_GB2312" w:asciiTheme="minorEastAsia" w:hAnsiTheme="minorEastAsia" w:eastAsiaTheme="minorEastAsia"/>
          <w:sz w:val="21"/>
          <w:szCs w:val="21"/>
        </w:rPr>
        <w:t>根据响应等级，汇总各区、市（县）上报的相关防御信息。包括：巡查人员数量、水库预泄水量、预警条数、派出工作组、内部明电等。</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36" w:name="_Toc17451438"/>
      <w:r>
        <w:rPr>
          <w:rFonts w:hint="eastAsia" w:asciiTheme="minorEastAsia" w:hAnsiTheme="minorEastAsia" w:eastAsiaTheme="minorEastAsia"/>
          <w:sz w:val="21"/>
          <w:szCs w:val="21"/>
        </w:rPr>
        <w:t>7.3调度信息管理</w:t>
      </w:r>
      <w:bookmarkEnd w:id="136"/>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调度单模板生成：</w:t>
      </w:r>
      <w:r>
        <w:rPr>
          <w:rFonts w:hint="eastAsia" w:cs="仿宋_GB2312" w:asciiTheme="minorEastAsia" w:hAnsiTheme="minorEastAsia" w:eastAsiaTheme="minorEastAsia"/>
          <w:sz w:val="21"/>
          <w:szCs w:val="21"/>
        </w:rPr>
        <w:t>系统可根据用户配置，自动生成水利工程调度单模板，用户可在模板的基础上进行修改，并提供调度单保存、导出及打印功能。</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调度单登记：</w:t>
      </w:r>
      <w:r>
        <w:rPr>
          <w:rFonts w:hint="eastAsia" w:cs="仿宋_GB2312" w:asciiTheme="minorEastAsia" w:hAnsiTheme="minorEastAsia" w:eastAsiaTheme="minorEastAsia"/>
          <w:sz w:val="21"/>
          <w:szCs w:val="21"/>
        </w:rPr>
        <w:t>系统需提供界面可登记调度单信息，各级防汛指挥部门、水库</w:t>
      </w:r>
      <w:r>
        <w:rPr>
          <w:rFonts w:cs="仿宋_GB2312" w:asciiTheme="minorEastAsia" w:hAnsiTheme="minorEastAsia" w:eastAsiaTheme="minorEastAsia"/>
          <w:sz w:val="21"/>
          <w:szCs w:val="21"/>
        </w:rPr>
        <w:t>和闸泵</w:t>
      </w:r>
      <w:r>
        <w:rPr>
          <w:rFonts w:hint="eastAsia" w:cs="仿宋_GB2312" w:asciiTheme="minorEastAsia" w:hAnsiTheme="minorEastAsia" w:eastAsiaTheme="minorEastAsia"/>
          <w:sz w:val="21"/>
          <w:szCs w:val="21"/>
        </w:rPr>
        <w:t>等水利工程管理</w:t>
      </w:r>
      <w:r>
        <w:rPr>
          <w:rFonts w:cs="仿宋_GB2312" w:asciiTheme="minorEastAsia" w:hAnsiTheme="minorEastAsia" w:eastAsiaTheme="minorEastAsia"/>
          <w:sz w:val="21"/>
          <w:szCs w:val="21"/>
        </w:rPr>
        <w:t>单位</w:t>
      </w:r>
      <w:r>
        <w:rPr>
          <w:rFonts w:hint="eastAsia" w:cs="仿宋_GB2312" w:asciiTheme="minorEastAsia" w:hAnsiTheme="minorEastAsia" w:eastAsiaTheme="minorEastAsia"/>
          <w:sz w:val="21"/>
          <w:szCs w:val="21"/>
        </w:rPr>
        <w:t>可以通过该系统录入水利工程调度信息，包括水库放水开始时间、放水时长、放水流量，闸门和</w:t>
      </w:r>
      <w:r>
        <w:rPr>
          <w:rFonts w:cs="仿宋_GB2312" w:asciiTheme="minorEastAsia" w:hAnsiTheme="minorEastAsia" w:eastAsiaTheme="minorEastAsia"/>
          <w:sz w:val="21"/>
          <w:szCs w:val="21"/>
        </w:rPr>
        <w:t>泵站启</w:t>
      </w:r>
      <w:r>
        <w:rPr>
          <w:rFonts w:hint="eastAsia" w:cs="仿宋_GB2312" w:asciiTheme="minorEastAsia" w:hAnsiTheme="minorEastAsia" w:eastAsiaTheme="minorEastAsia"/>
          <w:sz w:val="21"/>
          <w:szCs w:val="21"/>
        </w:rPr>
        <w:t>闭</w:t>
      </w:r>
      <w:r>
        <w:rPr>
          <w:rFonts w:cs="仿宋_GB2312" w:asciiTheme="minorEastAsia" w:hAnsiTheme="minorEastAsia" w:eastAsiaTheme="minorEastAsia"/>
          <w:sz w:val="21"/>
          <w:szCs w:val="21"/>
        </w:rPr>
        <w:t>时间、流量</w:t>
      </w:r>
      <w:r>
        <w:rPr>
          <w:rFonts w:hint="eastAsia" w:cs="仿宋_GB2312" w:asciiTheme="minorEastAsia" w:hAnsiTheme="minorEastAsia" w:eastAsiaTheme="minorEastAsia"/>
          <w:sz w:val="21"/>
          <w:szCs w:val="21"/>
        </w:rPr>
        <w:t>等信息。</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调度信息查询：</w:t>
      </w:r>
      <w:r>
        <w:rPr>
          <w:rFonts w:hint="eastAsia" w:cs="仿宋_GB2312" w:asciiTheme="minorEastAsia" w:hAnsiTheme="minorEastAsia" w:eastAsiaTheme="minorEastAsia"/>
          <w:sz w:val="21"/>
          <w:szCs w:val="21"/>
        </w:rPr>
        <w:t>系统可根据水库名称或时间段对调度信息进行在线查询，包括调度单详情、水库放水开始时间、放水时长、放水流量等信息。</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37" w:name="_Toc17451439"/>
      <w:r>
        <w:rPr>
          <w:rFonts w:hint="eastAsia" w:asciiTheme="minorEastAsia" w:hAnsiTheme="minorEastAsia" w:eastAsiaTheme="minorEastAsia"/>
          <w:sz w:val="21"/>
          <w:szCs w:val="21"/>
        </w:rPr>
        <w:t>7.4灾情信息管理</w:t>
      </w:r>
      <w:bookmarkEnd w:id="137"/>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灾情上报录入：</w:t>
      </w:r>
      <w:r>
        <w:rPr>
          <w:rFonts w:hint="eastAsia" w:cs="仿宋_GB2312" w:asciiTheme="minorEastAsia" w:hAnsiTheme="minorEastAsia" w:eastAsiaTheme="minorEastAsia"/>
          <w:sz w:val="21"/>
          <w:szCs w:val="21"/>
        </w:rPr>
        <w:t>用户可以通过系统定制的表格内容上报各级灾情信息，同时系统提供历史灾情的导入和修改功能。</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灾情查询：</w:t>
      </w:r>
      <w:r>
        <w:rPr>
          <w:rFonts w:hint="eastAsia" w:cs="仿宋_GB2312" w:asciiTheme="minorEastAsia" w:hAnsiTheme="minorEastAsia" w:eastAsiaTheme="minorEastAsia"/>
          <w:sz w:val="21"/>
          <w:szCs w:val="21"/>
        </w:rPr>
        <w:t>根据设定时间段和行政分区，系统自动检索历史灾情信息，并提供各类灾情信息的查询、导出功能。</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7.5防汛阶段式文档编制和管理</w:t>
      </w:r>
    </w:p>
    <w:p>
      <w:pPr>
        <w:pStyle w:val="20"/>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rPr>
        <w:t>编制梅雨期、台风期各阶段（前期、中期和后期）不同</w:t>
      </w:r>
      <w:r>
        <w:rPr>
          <w:rFonts w:cs="仿宋_GB2312" w:asciiTheme="minorEastAsia" w:hAnsiTheme="minorEastAsia" w:eastAsiaTheme="minorEastAsia"/>
          <w:sz w:val="21"/>
          <w:szCs w:val="21"/>
        </w:rPr>
        <w:t>的</w:t>
      </w:r>
      <w:r>
        <w:rPr>
          <w:rFonts w:hint="eastAsia" w:cs="仿宋_GB2312" w:asciiTheme="minorEastAsia" w:hAnsiTheme="minorEastAsia" w:eastAsiaTheme="minorEastAsia"/>
          <w:sz w:val="21"/>
          <w:szCs w:val="21"/>
        </w:rPr>
        <w:t>防汛相关报表、防御动态简报、每日一报、内部明电、调度信息、水利工程效益评估和各类会商、讲话等汇报材料模版；</w:t>
      </w:r>
      <w:r>
        <w:rPr>
          <w:rFonts w:cs="仿宋_GB2312" w:asciiTheme="minorEastAsia" w:hAnsiTheme="minorEastAsia" w:eastAsiaTheme="minorEastAsia"/>
          <w:sz w:val="21"/>
          <w:szCs w:val="21"/>
        </w:rPr>
        <w:t>系统</w:t>
      </w:r>
      <w:r>
        <w:rPr>
          <w:rFonts w:hint="eastAsia" w:cs="仿宋_GB2312" w:asciiTheme="minorEastAsia" w:hAnsiTheme="minorEastAsia" w:eastAsiaTheme="minorEastAsia"/>
          <w:sz w:val="21"/>
          <w:szCs w:val="21"/>
        </w:rPr>
        <w:t>可人工</w:t>
      </w:r>
      <w:r>
        <w:rPr>
          <w:rFonts w:cs="仿宋_GB2312" w:asciiTheme="minorEastAsia" w:hAnsiTheme="minorEastAsia" w:eastAsiaTheme="minorEastAsia"/>
          <w:sz w:val="21"/>
          <w:szCs w:val="21"/>
        </w:rPr>
        <w:t>设置各阶段工作内容提醒，在各阶段自动提醒相关人员；通过</w:t>
      </w:r>
      <w:r>
        <w:rPr>
          <w:rFonts w:hint="eastAsia" w:cs="仿宋_GB2312" w:asciiTheme="minorEastAsia" w:hAnsiTheme="minorEastAsia" w:eastAsiaTheme="minorEastAsia"/>
          <w:sz w:val="21"/>
          <w:szCs w:val="21"/>
        </w:rPr>
        <w:t>阶段式文档管理系统的导航页面，罗列出各个阶段主要信息，</w:t>
      </w:r>
      <w:r>
        <w:rPr>
          <w:rFonts w:cs="仿宋_GB2312" w:asciiTheme="minorEastAsia" w:hAnsiTheme="minorEastAsia" w:eastAsiaTheme="minorEastAsia"/>
          <w:sz w:val="21"/>
          <w:szCs w:val="21"/>
        </w:rPr>
        <w:t>用户根据需要筛选需要的</w:t>
      </w:r>
      <w:r>
        <w:rPr>
          <w:rFonts w:hint="eastAsia" w:cs="仿宋_GB2312" w:asciiTheme="minorEastAsia" w:hAnsiTheme="minorEastAsia" w:eastAsiaTheme="minorEastAsia"/>
          <w:sz w:val="21"/>
          <w:szCs w:val="21"/>
        </w:rPr>
        <w:t>信息</w:t>
      </w:r>
      <w:r>
        <w:rPr>
          <w:rFonts w:cs="仿宋_GB2312" w:asciiTheme="minorEastAsia" w:hAnsiTheme="minorEastAsia" w:eastAsiaTheme="minorEastAsia"/>
          <w:sz w:val="21"/>
          <w:szCs w:val="21"/>
        </w:rPr>
        <w:t>，</w:t>
      </w:r>
      <w:r>
        <w:rPr>
          <w:rFonts w:hint="eastAsia" w:cs="仿宋_GB2312" w:asciiTheme="minorEastAsia" w:hAnsiTheme="minorEastAsia" w:eastAsiaTheme="minorEastAsia"/>
          <w:sz w:val="21"/>
          <w:szCs w:val="21"/>
        </w:rPr>
        <w:t>自动</w:t>
      </w:r>
      <w:r>
        <w:rPr>
          <w:rFonts w:cs="仿宋_GB2312" w:asciiTheme="minorEastAsia" w:hAnsiTheme="minorEastAsia" w:eastAsiaTheme="minorEastAsia"/>
          <w:sz w:val="21"/>
          <w:szCs w:val="21"/>
        </w:rPr>
        <w:t>生成定制</w:t>
      </w:r>
      <w:r>
        <w:rPr>
          <w:rFonts w:hint="eastAsia" w:cs="仿宋_GB2312" w:asciiTheme="minorEastAsia" w:hAnsiTheme="minorEastAsia" w:eastAsiaTheme="minorEastAsia"/>
          <w:sz w:val="21"/>
          <w:szCs w:val="21"/>
        </w:rPr>
        <w:t>的综合汇报材料，并对</w:t>
      </w:r>
      <w:r>
        <w:rPr>
          <w:rFonts w:cs="仿宋_GB2312" w:asciiTheme="minorEastAsia" w:hAnsiTheme="minorEastAsia" w:eastAsiaTheme="minorEastAsia"/>
          <w:sz w:val="21"/>
          <w:szCs w:val="21"/>
        </w:rPr>
        <w:t>生成的</w:t>
      </w:r>
      <w:r>
        <w:rPr>
          <w:rFonts w:hint="eastAsia" w:cs="仿宋_GB2312" w:asciiTheme="minorEastAsia" w:hAnsiTheme="minorEastAsia" w:eastAsiaTheme="minorEastAsia"/>
          <w:sz w:val="21"/>
          <w:szCs w:val="21"/>
        </w:rPr>
        <w:t>文档</w:t>
      </w:r>
      <w:r>
        <w:rPr>
          <w:rFonts w:cs="仿宋_GB2312" w:asciiTheme="minorEastAsia" w:hAnsiTheme="minorEastAsia" w:eastAsiaTheme="minorEastAsia"/>
          <w:sz w:val="21"/>
          <w:szCs w:val="21"/>
        </w:rPr>
        <w:t>具备保存、导出、查询</w:t>
      </w:r>
      <w:r>
        <w:rPr>
          <w:rFonts w:hint="eastAsia" w:cs="仿宋_GB2312" w:asciiTheme="minorEastAsia" w:hAnsiTheme="minorEastAsia" w:eastAsiaTheme="minorEastAsia"/>
          <w:sz w:val="21"/>
          <w:szCs w:val="21"/>
        </w:rPr>
        <w:t>等</w:t>
      </w:r>
      <w:r>
        <w:rPr>
          <w:rFonts w:cs="仿宋_GB2312" w:asciiTheme="minorEastAsia" w:hAnsiTheme="minorEastAsia" w:eastAsiaTheme="minorEastAsia"/>
          <w:sz w:val="21"/>
          <w:szCs w:val="21"/>
        </w:rPr>
        <w:t>功能。</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bookmarkStart w:id="138" w:name="_Toc17451440"/>
      <w:r>
        <w:rPr>
          <w:rFonts w:hint="eastAsia" w:asciiTheme="minorEastAsia" w:hAnsiTheme="minorEastAsia" w:eastAsiaTheme="minorEastAsia"/>
          <w:sz w:val="21"/>
          <w:szCs w:val="21"/>
        </w:rPr>
        <w:t>7.6洪水预报成果管理</w:t>
      </w:r>
      <w:bookmarkEnd w:id="138"/>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预报成果</w:t>
      </w:r>
      <w:r>
        <w:rPr>
          <w:rFonts w:cs="仿宋_GB2312" w:asciiTheme="minorEastAsia" w:hAnsiTheme="minorEastAsia" w:eastAsiaTheme="minorEastAsia"/>
          <w:b/>
          <w:sz w:val="21"/>
          <w:szCs w:val="21"/>
        </w:rPr>
        <w:t>录入</w:t>
      </w:r>
      <w:r>
        <w:rPr>
          <w:rFonts w:hint="eastAsia" w:cs="仿宋_GB2312" w:asciiTheme="minorEastAsia" w:hAnsiTheme="minorEastAsia" w:eastAsiaTheme="minorEastAsia"/>
          <w:b/>
          <w:sz w:val="21"/>
          <w:szCs w:val="21"/>
        </w:rPr>
        <w:t>和上传：</w:t>
      </w:r>
      <w:r>
        <w:rPr>
          <w:rFonts w:hint="eastAsia" w:cs="仿宋_GB2312" w:asciiTheme="minorEastAsia" w:hAnsiTheme="minorEastAsia" w:eastAsiaTheme="minorEastAsia"/>
          <w:sz w:val="21"/>
          <w:szCs w:val="21"/>
        </w:rPr>
        <w:t>对重要的预报站，用户</w:t>
      </w:r>
      <w:r>
        <w:rPr>
          <w:rFonts w:cs="仿宋_GB2312" w:asciiTheme="minorEastAsia" w:hAnsiTheme="minorEastAsia" w:eastAsiaTheme="minorEastAsia"/>
          <w:sz w:val="21"/>
          <w:szCs w:val="21"/>
        </w:rPr>
        <w:t>通过</w:t>
      </w:r>
      <w:r>
        <w:rPr>
          <w:rFonts w:hint="eastAsia" w:cs="仿宋_GB2312" w:asciiTheme="minorEastAsia" w:hAnsiTheme="minorEastAsia" w:eastAsiaTheme="minorEastAsia"/>
          <w:sz w:val="21"/>
          <w:szCs w:val="21"/>
        </w:rPr>
        <w:t>定制的预报成果模板填报</w:t>
      </w:r>
      <w:r>
        <w:rPr>
          <w:rFonts w:cs="仿宋_GB2312" w:asciiTheme="minorEastAsia" w:hAnsiTheme="minorEastAsia" w:eastAsiaTheme="minorEastAsia"/>
          <w:sz w:val="21"/>
          <w:szCs w:val="21"/>
        </w:rPr>
        <w:t>相关</w:t>
      </w:r>
      <w:r>
        <w:rPr>
          <w:rFonts w:hint="eastAsia" w:cs="仿宋_GB2312" w:asciiTheme="minorEastAsia" w:hAnsiTheme="minorEastAsia" w:eastAsiaTheme="minorEastAsia"/>
          <w:sz w:val="21"/>
          <w:szCs w:val="21"/>
        </w:rPr>
        <w:t>预报信息（包括预报前置条件、预报洪峰水位、</w:t>
      </w:r>
      <w:r>
        <w:rPr>
          <w:rFonts w:cs="仿宋_GB2312" w:asciiTheme="minorEastAsia" w:hAnsiTheme="minorEastAsia" w:eastAsiaTheme="minorEastAsia"/>
          <w:sz w:val="21"/>
          <w:szCs w:val="21"/>
        </w:rPr>
        <w:t>洪峰流量</w:t>
      </w:r>
      <w:r>
        <w:rPr>
          <w:rFonts w:hint="eastAsia" w:cs="仿宋_GB2312" w:asciiTheme="minorEastAsia" w:hAnsiTheme="minorEastAsia" w:eastAsiaTheme="minorEastAsia"/>
          <w:sz w:val="21"/>
          <w:szCs w:val="21"/>
        </w:rPr>
        <w:t>、洪峰出现时间、调度建议、</w:t>
      </w:r>
      <w:r>
        <w:rPr>
          <w:rFonts w:cs="仿宋_GB2312" w:asciiTheme="minorEastAsia" w:hAnsiTheme="minorEastAsia" w:eastAsiaTheme="minorEastAsia"/>
          <w:sz w:val="21"/>
          <w:szCs w:val="21"/>
        </w:rPr>
        <w:t>预报人员和签发人员</w:t>
      </w:r>
      <w:r>
        <w:rPr>
          <w:rFonts w:hint="eastAsia" w:cs="仿宋_GB2312" w:asciiTheme="minorEastAsia" w:hAnsiTheme="minorEastAsia" w:eastAsiaTheme="minorEastAsia"/>
          <w:sz w:val="21"/>
          <w:szCs w:val="21"/>
        </w:rPr>
        <w:t>等）</w:t>
      </w:r>
      <w:r>
        <w:rPr>
          <w:rFonts w:cs="仿宋_GB2312" w:asciiTheme="minorEastAsia" w:hAnsiTheme="minorEastAsia" w:eastAsiaTheme="minorEastAsia"/>
          <w:sz w:val="21"/>
          <w:szCs w:val="21"/>
        </w:rPr>
        <w:t>，并</w:t>
      </w:r>
      <w:r>
        <w:rPr>
          <w:rFonts w:hint="eastAsia" w:cs="仿宋_GB2312" w:asciiTheme="minorEastAsia" w:hAnsiTheme="minorEastAsia" w:eastAsiaTheme="minorEastAsia"/>
          <w:sz w:val="21"/>
          <w:szCs w:val="21"/>
        </w:rPr>
        <w:t>保存预报成果。对于一般预报站点，通过附件上传预报成果，</w:t>
      </w:r>
      <w:r>
        <w:rPr>
          <w:rFonts w:cs="仿宋_GB2312" w:asciiTheme="minorEastAsia" w:hAnsiTheme="minorEastAsia" w:eastAsiaTheme="minorEastAsia"/>
          <w:sz w:val="21"/>
          <w:szCs w:val="21"/>
        </w:rPr>
        <w:t>并自动提取预报内容</w:t>
      </w:r>
      <w:r>
        <w:rPr>
          <w:rFonts w:hint="eastAsia" w:cs="仿宋_GB2312" w:asciiTheme="minorEastAsia" w:hAnsiTheme="minorEastAsia" w:eastAsiaTheme="minorEastAsia"/>
          <w:sz w:val="21"/>
          <w:szCs w:val="21"/>
        </w:rPr>
        <w:t>。</w:t>
      </w:r>
    </w:p>
    <w:p>
      <w:pPr>
        <w:pStyle w:val="20"/>
        <w:ind w:firstLine="562"/>
        <w:rPr>
          <w:rFonts w:cs="仿宋_GB2312" w:asciiTheme="minorEastAsia" w:hAnsiTheme="minorEastAsia" w:eastAsiaTheme="minorEastAsia"/>
          <w:sz w:val="21"/>
          <w:szCs w:val="21"/>
        </w:rPr>
      </w:pPr>
      <w:r>
        <w:rPr>
          <w:rFonts w:hint="eastAsia" w:cs="仿宋_GB2312" w:asciiTheme="minorEastAsia" w:hAnsiTheme="minorEastAsia" w:eastAsiaTheme="minorEastAsia"/>
          <w:b/>
          <w:sz w:val="21"/>
          <w:szCs w:val="21"/>
        </w:rPr>
        <w:t>预报成果查询：</w:t>
      </w:r>
      <w:r>
        <w:rPr>
          <w:rFonts w:hint="eastAsia" w:cs="仿宋_GB2312" w:asciiTheme="minorEastAsia" w:hAnsiTheme="minorEastAsia" w:eastAsiaTheme="minorEastAsia"/>
          <w:sz w:val="21"/>
          <w:szCs w:val="21"/>
        </w:rPr>
        <w:t>用户可通过设定的条件，查询实时和历史的洪水预报信息，包括各次预报的预报前置条件、预报洪峰水位、</w:t>
      </w:r>
      <w:r>
        <w:rPr>
          <w:rFonts w:cs="仿宋_GB2312" w:asciiTheme="minorEastAsia" w:hAnsiTheme="minorEastAsia" w:eastAsiaTheme="minorEastAsia"/>
          <w:sz w:val="21"/>
          <w:szCs w:val="21"/>
        </w:rPr>
        <w:t>洪峰流量</w:t>
      </w:r>
      <w:r>
        <w:rPr>
          <w:rFonts w:hint="eastAsia" w:cs="仿宋_GB2312" w:asciiTheme="minorEastAsia" w:hAnsiTheme="minorEastAsia" w:eastAsiaTheme="minorEastAsia"/>
          <w:sz w:val="21"/>
          <w:szCs w:val="21"/>
        </w:rPr>
        <w:t>、洪峰出现时间、调度建议、</w:t>
      </w:r>
      <w:r>
        <w:rPr>
          <w:rFonts w:cs="仿宋_GB2312" w:asciiTheme="minorEastAsia" w:hAnsiTheme="minorEastAsia" w:eastAsiaTheme="minorEastAsia"/>
          <w:sz w:val="21"/>
          <w:szCs w:val="21"/>
        </w:rPr>
        <w:t>预报人员和签发人员</w:t>
      </w:r>
      <w:r>
        <w:rPr>
          <w:rFonts w:hint="eastAsia" w:cs="仿宋_GB2312" w:asciiTheme="minorEastAsia" w:hAnsiTheme="minorEastAsia" w:eastAsiaTheme="minorEastAsia"/>
          <w:sz w:val="21"/>
          <w:szCs w:val="21"/>
        </w:rPr>
        <w:t>等。</w:t>
      </w:r>
    </w:p>
    <w:p>
      <w:pPr>
        <w:pStyle w:val="5"/>
        <w:widowControl/>
        <w:numPr>
          <w:ilvl w:val="2"/>
          <w:numId w:val="0"/>
        </w:numPr>
        <w:spacing w:before="40" w:after="40" w:line="360" w:lineRule="auto"/>
        <w:ind w:left="1288" w:hanging="720"/>
        <w:jc w:val="left"/>
        <w:rPr>
          <w:rFonts w:asciiTheme="minorEastAsia" w:hAnsiTheme="minorEastAsia" w:eastAsiaTheme="minorEastAsia"/>
          <w:sz w:val="21"/>
          <w:szCs w:val="21"/>
        </w:rPr>
      </w:pPr>
      <w:r>
        <w:rPr>
          <w:rFonts w:hint="eastAsia" w:asciiTheme="minorEastAsia" w:hAnsiTheme="minorEastAsia" w:eastAsiaTheme="minorEastAsia"/>
          <w:sz w:val="21"/>
          <w:szCs w:val="21"/>
        </w:rPr>
        <w:t>7.7 应急响应自动关联</w:t>
      </w:r>
    </w:p>
    <w:p>
      <w:pPr>
        <w:spacing w:line="380" w:lineRule="exact"/>
        <w:ind w:firstLine="105" w:firstLineChars="50"/>
      </w:pPr>
      <w:r>
        <w:rPr>
          <w:rFonts w:hint="eastAsia" w:cs="仿宋_GB2312" w:asciiTheme="minorEastAsia" w:hAnsiTheme="minorEastAsia"/>
          <w:szCs w:val="21"/>
        </w:rPr>
        <w:t xml:space="preserve">    编制梅雨期</w:t>
      </w:r>
      <w:r>
        <w:rPr>
          <w:rFonts w:cs="仿宋_GB2312" w:asciiTheme="minorEastAsia" w:hAnsiTheme="minorEastAsia"/>
          <w:szCs w:val="21"/>
        </w:rPr>
        <w:t>和台风期应急响应</w:t>
      </w:r>
      <w:r>
        <w:rPr>
          <w:rFonts w:hint="eastAsia" w:cs="仿宋_GB2312" w:asciiTheme="minorEastAsia" w:hAnsiTheme="minorEastAsia"/>
          <w:szCs w:val="21"/>
        </w:rPr>
        <w:t>通知</w:t>
      </w:r>
      <w:r>
        <w:rPr>
          <w:rFonts w:cs="仿宋_GB2312" w:asciiTheme="minorEastAsia" w:hAnsiTheme="minorEastAsia"/>
          <w:szCs w:val="21"/>
        </w:rPr>
        <w:t>单模版</w:t>
      </w:r>
      <w:r>
        <w:rPr>
          <w:rFonts w:hint="eastAsia" w:cs="仿宋_GB2312" w:asciiTheme="minorEastAsia" w:hAnsiTheme="minorEastAsia"/>
          <w:szCs w:val="21"/>
        </w:rPr>
        <w:t>；根据实测或</w:t>
      </w:r>
      <w:r>
        <w:rPr>
          <w:rFonts w:cs="仿宋_GB2312" w:asciiTheme="minorEastAsia" w:hAnsiTheme="minorEastAsia"/>
          <w:szCs w:val="21"/>
        </w:rPr>
        <w:t>气象预报</w:t>
      </w:r>
      <w:r>
        <w:rPr>
          <w:rFonts w:hint="eastAsia" w:cs="仿宋_GB2312" w:asciiTheme="minorEastAsia" w:hAnsiTheme="minorEastAsia"/>
          <w:szCs w:val="21"/>
        </w:rPr>
        <w:t>降雨、河道水情、水库水情等信息，达到应急响应发布规则时，自动生成并</w:t>
      </w:r>
      <w:r>
        <w:rPr>
          <w:rFonts w:cs="仿宋_GB2312" w:asciiTheme="minorEastAsia" w:hAnsiTheme="minorEastAsia"/>
          <w:szCs w:val="21"/>
        </w:rPr>
        <w:t>短信提醒用户核定</w:t>
      </w:r>
      <w:r>
        <w:rPr>
          <w:rFonts w:hint="eastAsia" w:cs="仿宋_GB2312" w:asciiTheme="minorEastAsia" w:hAnsiTheme="minorEastAsia"/>
          <w:szCs w:val="21"/>
        </w:rPr>
        <w:t>应急响应通知单信息，同时</w:t>
      </w:r>
      <w:r>
        <w:rPr>
          <w:rFonts w:cs="仿宋_GB2312" w:asciiTheme="minorEastAsia" w:hAnsiTheme="minorEastAsia"/>
          <w:szCs w:val="21"/>
        </w:rPr>
        <w:t>通过短信</w:t>
      </w:r>
      <w:r>
        <w:rPr>
          <w:rFonts w:hint="eastAsia" w:cs="仿宋_GB2312" w:asciiTheme="minorEastAsia" w:hAnsiTheme="minorEastAsia"/>
          <w:szCs w:val="21"/>
        </w:rPr>
        <w:t>对应急</w:t>
      </w:r>
      <w:r>
        <w:rPr>
          <w:rFonts w:cs="仿宋_GB2312" w:asciiTheme="minorEastAsia" w:hAnsiTheme="minorEastAsia"/>
          <w:szCs w:val="21"/>
        </w:rPr>
        <w:t>响应信息</w:t>
      </w:r>
      <w:r>
        <w:rPr>
          <w:rFonts w:hint="eastAsia" w:cs="仿宋_GB2312" w:asciiTheme="minorEastAsia" w:hAnsiTheme="minorEastAsia"/>
          <w:szCs w:val="21"/>
        </w:rPr>
        <w:t>进行发布。</w:t>
      </w:r>
    </w:p>
    <w:p>
      <w:pPr>
        <w:widowControl/>
        <w:jc w:val="left"/>
        <w:rPr>
          <w:rFonts w:asciiTheme="minorEastAsia" w:hAnsiTheme="minorEastAsia" w:eastAsiaTheme="minorEastAsia"/>
          <w:b/>
          <w:snapToGrid w:val="0"/>
          <w:kern w:val="0"/>
          <w:sz w:val="30"/>
          <w:szCs w:val="30"/>
        </w:rPr>
      </w:pPr>
      <w:r>
        <w:rPr>
          <w:rFonts w:asciiTheme="minorEastAsia" w:hAnsiTheme="minorEastAsia" w:eastAsiaTheme="minorEastAsia"/>
          <w:b/>
          <w:snapToGrid w:val="0"/>
          <w:kern w:val="0"/>
          <w:sz w:val="30"/>
          <w:szCs w:val="30"/>
        </w:rPr>
        <w:br w:type="page"/>
      </w:r>
    </w:p>
    <w:p>
      <w:pPr>
        <w:adjustRightInd w:val="0"/>
        <w:snapToGrid w:val="0"/>
        <w:spacing w:line="360" w:lineRule="auto"/>
        <w:jc w:val="center"/>
        <w:outlineLvl w:val="0"/>
        <w:rPr>
          <w:rFonts w:asciiTheme="minorEastAsia" w:hAnsiTheme="minorEastAsia" w:eastAsiaTheme="minorEastAsia"/>
          <w:b/>
          <w:snapToGrid w:val="0"/>
          <w:kern w:val="0"/>
          <w:sz w:val="30"/>
          <w:szCs w:val="30"/>
        </w:rPr>
      </w:pPr>
      <w:bookmarkStart w:id="139" w:name="_Toc23154232"/>
      <w:r>
        <w:rPr>
          <w:rFonts w:hint="eastAsia" w:asciiTheme="minorEastAsia" w:hAnsiTheme="minorEastAsia" w:eastAsiaTheme="minorEastAsia"/>
          <w:b/>
          <w:snapToGrid w:val="0"/>
          <w:kern w:val="0"/>
          <w:sz w:val="30"/>
          <w:szCs w:val="30"/>
        </w:rPr>
        <w:t>第四部分  合同条款</w:t>
      </w:r>
      <w:bookmarkEnd w:id="139"/>
    </w:p>
    <w:p>
      <w:pPr>
        <w:snapToGrid w:val="0"/>
        <w:spacing w:line="273" w:lineRule="auto"/>
        <w:jc w:val="center"/>
        <w:rPr>
          <w:rFonts w:ascii="宋体" w:hAnsi="宋体"/>
          <w:sz w:val="36"/>
          <w:szCs w:val="36"/>
        </w:rPr>
      </w:pPr>
      <w:r>
        <w:rPr>
          <w:rFonts w:hint="eastAsia" w:ascii="黑体" w:hAnsi="黑体" w:eastAsia="黑体" w:cs="宋体"/>
          <w:sz w:val="36"/>
          <w:szCs w:val="36"/>
        </w:rPr>
        <w:t>杭州市水文水资源监测总站采购合同</w:t>
      </w:r>
      <w:r>
        <w:rPr>
          <w:rFonts w:hint="eastAsia" w:ascii="宋体" w:hAnsi="宋体" w:cs="宋体"/>
          <w:sz w:val="26"/>
          <w:szCs w:val="48"/>
        </w:rPr>
        <w:t>（软件开发类）</w:t>
      </w:r>
    </w:p>
    <w:p>
      <w:pPr>
        <w:spacing w:line="360" w:lineRule="auto"/>
        <w:rPr>
          <w:rFonts w:ascii="宋体" w:hAnsi="宋体"/>
          <w:sz w:val="24"/>
        </w:rPr>
      </w:pPr>
    </w:p>
    <w:p>
      <w:pPr>
        <w:spacing w:line="360" w:lineRule="auto"/>
        <w:ind w:firstLine="240" w:firstLineChars="100"/>
        <w:rPr>
          <w:rFonts w:ascii="宋体" w:hAnsi="宋体"/>
          <w:b/>
          <w:bCs/>
          <w:sz w:val="24"/>
        </w:rPr>
      </w:pPr>
      <w:r>
        <w:rPr>
          <w:rFonts w:ascii="宋体" w:hAnsi="宋体"/>
          <w:sz w:val="24"/>
        </w:rPr>
        <w:t>甲方（需方）：</w:t>
      </w:r>
      <w:r>
        <w:rPr>
          <w:rFonts w:ascii="宋体" w:hAnsi="宋体"/>
          <w:b/>
          <w:bCs/>
          <w:sz w:val="24"/>
        </w:rPr>
        <w:t>杭州市水文水资源监测总站</w:t>
      </w:r>
      <w:r>
        <w:rPr>
          <w:rFonts w:ascii="宋体" w:hAnsi="宋体"/>
          <w:b/>
          <w:bCs/>
          <w:sz w:val="24"/>
        </w:rPr>
        <w:tab/>
      </w:r>
    </w:p>
    <w:p>
      <w:pPr>
        <w:spacing w:line="360" w:lineRule="auto"/>
        <w:ind w:firstLine="240" w:firstLineChars="100"/>
        <w:rPr>
          <w:rFonts w:ascii="宋体" w:hAnsi="宋体"/>
          <w:b/>
          <w:sz w:val="24"/>
        </w:rPr>
      </w:pPr>
      <w:r>
        <w:rPr>
          <w:rFonts w:ascii="宋体" w:hAnsi="宋体"/>
          <w:sz w:val="24"/>
        </w:rPr>
        <w:t>乙方（供方）：</w:t>
      </w:r>
    </w:p>
    <w:p>
      <w:pPr>
        <w:spacing w:line="360" w:lineRule="exact"/>
        <w:rPr>
          <w:rFonts w:ascii="宋体" w:hAnsi="宋体"/>
          <w:b/>
          <w:snapToGrid w:val="0"/>
          <w:szCs w:val="21"/>
        </w:rPr>
      </w:pPr>
      <w:r>
        <w:rPr>
          <w:rFonts w:ascii="宋体" w:hAnsi="宋体"/>
          <w:snapToGrid w:val="0"/>
          <w:szCs w:val="21"/>
        </w:rPr>
        <w:t>根据《中华人民共和国政府采购法》、《中华人民共和国合同法》等有关法律法规精神，杭州市水文水资源监测总站（甲方）经过</w:t>
      </w:r>
      <w:r>
        <w:rPr>
          <w:rFonts w:hint="eastAsia" w:ascii="宋体" w:hAnsi="宋体"/>
          <w:snapToGrid w:val="0"/>
          <w:szCs w:val="21"/>
        </w:rPr>
        <w:t>采购方式</w:t>
      </w:r>
      <w:r>
        <w:rPr>
          <w:rFonts w:ascii="宋体" w:hAnsi="宋体"/>
          <w:snapToGrid w:val="0"/>
          <w:szCs w:val="21"/>
        </w:rPr>
        <w:t>，确定（乙方）为供货单位，双方经协商达成以下条款：</w:t>
      </w:r>
    </w:p>
    <w:p>
      <w:pPr>
        <w:autoSpaceDE w:val="0"/>
        <w:autoSpaceDN w:val="0"/>
        <w:adjustRightInd w:val="0"/>
        <w:spacing w:before="120" w:beforeLines="50" w:line="360" w:lineRule="exact"/>
        <w:ind w:firstLine="422" w:firstLineChars="200"/>
        <w:jc w:val="left"/>
        <w:rPr>
          <w:rFonts w:ascii="宋体" w:hAnsi="宋体"/>
          <w:b/>
          <w:szCs w:val="21"/>
          <w:u w:val="single"/>
        </w:rPr>
      </w:pPr>
      <w:r>
        <w:rPr>
          <w:rFonts w:ascii="宋体" w:hAnsi="宋体"/>
          <w:b/>
          <w:szCs w:val="21"/>
        </w:rPr>
        <w:t>一</w:t>
      </w:r>
      <w:r>
        <w:rPr>
          <w:rFonts w:hint="eastAsia" w:ascii="宋体" w:hAnsi="宋体"/>
          <w:b/>
          <w:szCs w:val="21"/>
        </w:rPr>
        <w:t>、</w:t>
      </w:r>
      <w:r>
        <w:rPr>
          <w:rFonts w:ascii="宋体" w:hAnsi="宋体"/>
          <w:b/>
          <w:szCs w:val="21"/>
        </w:rPr>
        <w:t>项目名称</w:t>
      </w:r>
      <w:r>
        <w:rPr>
          <w:rFonts w:hint="eastAsia" w:ascii="宋体" w:hAnsi="宋体"/>
          <w:b/>
          <w:szCs w:val="21"/>
        </w:rPr>
        <w:t>：市本级水旱灾害监测预警平台</w:t>
      </w:r>
    </w:p>
    <w:p>
      <w:pPr>
        <w:autoSpaceDE w:val="0"/>
        <w:autoSpaceDN w:val="0"/>
        <w:adjustRightInd w:val="0"/>
        <w:spacing w:before="120" w:beforeLines="50" w:line="360" w:lineRule="exact"/>
        <w:ind w:firstLine="422" w:firstLineChars="200"/>
        <w:jc w:val="left"/>
        <w:rPr>
          <w:rFonts w:ascii="宋体" w:hAnsi="宋体"/>
          <w:b/>
          <w:szCs w:val="21"/>
        </w:rPr>
      </w:pPr>
      <w:r>
        <w:rPr>
          <w:rFonts w:ascii="宋体" w:hAnsi="宋体"/>
          <w:b/>
          <w:szCs w:val="21"/>
        </w:rPr>
        <w:t>二</w:t>
      </w:r>
      <w:r>
        <w:rPr>
          <w:rFonts w:hint="eastAsia" w:ascii="宋体" w:hAnsi="宋体"/>
          <w:b/>
          <w:szCs w:val="21"/>
        </w:rPr>
        <w:t>、</w:t>
      </w:r>
      <w:r>
        <w:rPr>
          <w:rFonts w:ascii="宋体" w:hAnsi="宋体"/>
          <w:b/>
          <w:szCs w:val="21"/>
        </w:rPr>
        <w:t>项目标的技术的内容</w:t>
      </w:r>
      <w:r>
        <w:rPr>
          <w:rFonts w:hint="eastAsia" w:ascii="宋体" w:hAnsi="宋体"/>
          <w:b/>
          <w:szCs w:val="21"/>
        </w:rPr>
        <w:t>、</w:t>
      </w:r>
      <w:r>
        <w:rPr>
          <w:rFonts w:ascii="宋体" w:hAnsi="宋体"/>
          <w:b/>
          <w:szCs w:val="21"/>
        </w:rPr>
        <w:t>范围</w:t>
      </w:r>
      <w:r>
        <w:rPr>
          <w:rFonts w:hint="eastAsia" w:ascii="宋体" w:hAnsi="宋体"/>
          <w:b/>
          <w:szCs w:val="21"/>
        </w:rPr>
        <w:t>、</w:t>
      </w:r>
      <w:r>
        <w:rPr>
          <w:rFonts w:ascii="宋体" w:hAnsi="宋体"/>
          <w:b/>
          <w:szCs w:val="21"/>
        </w:rPr>
        <w:t>形式和要求</w:t>
      </w:r>
    </w:p>
    <w:p>
      <w:pPr>
        <w:spacing w:line="360" w:lineRule="exact"/>
        <w:ind w:right="-766" w:rightChars="-365" w:firstLine="420" w:firstLineChars="200"/>
        <w:rPr>
          <w:rFonts w:ascii="宋体" w:hAnsi="宋体"/>
          <w:szCs w:val="21"/>
        </w:rPr>
      </w:pPr>
      <w:r>
        <w:rPr>
          <w:rFonts w:hint="eastAsia" w:ascii="宋体" w:hAnsi="宋体"/>
          <w:szCs w:val="21"/>
        </w:rPr>
        <w:t>（一）项目内容</w:t>
      </w:r>
    </w:p>
    <w:p>
      <w:pPr>
        <w:spacing w:line="360" w:lineRule="exact"/>
        <w:ind w:right="-766" w:rightChars="-365" w:firstLine="420" w:firstLineChars="200"/>
        <w:rPr>
          <w:rFonts w:ascii="宋体" w:hAnsi="宋体"/>
          <w:szCs w:val="21"/>
        </w:rPr>
      </w:pPr>
      <w:r>
        <w:rPr>
          <w:rFonts w:hint="eastAsia" w:ascii="宋体" w:hAnsi="宋体"/>
          <w:szCs w:val="21"/>
        </w:rPr>
        <w:t>本合同条款适用与本次采购活动。项目实施范围详见附件——招标文件和投标文件及补充文件、采购设计图、承诺书等。</w:t>
      </w:r>
    </w:p>
    <w:tbl>
      <w:tblPr>
        <w:tblStyle w:val="45"/>
        <w:tblW w:w="875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17"/>
        <w:gridCol w:w="4331"/>
        <w:gridCol w:w="1173"/>
        <w:gridCol w:w="243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60" w:lineRule="exact"/>
              <w:jc w:val="center"/>
              <w:rPr>
                <w:rFonts w:ascii="宋体" w:hAnsi="宋体"/>
                <w:b/>
                <w:snapToGrid w:val="0"/>
                <w:kern w:val="0"/>
                <w:szCs w:val="21"/>
              </w:rPr>
            </w:pPr>
            <w:r>
              <w:rPr>
                <w:rFonts w:hint="eastAsia" w:ascii="宋体" w:hAnsi="宋体"/>
                <w:b/>
                <w:snapToGrid w:val="0"/>
                <w:kern w:val="0"/>
                <w:szCs w:val="21"/>
              </w:rPr>
              <w:t>序号</w:t>
            </w:r>
          </w:p>
        </w:tc>
        <w:tc>
          <w:tcPr>
            <w:tcW w:w="4331" w:type="dxa"/>
            <w:vAlign w:val="center"/>
          </w:tcPr>
          <w:p>
            <w:pPr>
              <w:adjustRightInd w:val="0"/>
              <w:snapToGrid w:val="0"/>
              <w:spacing w:line="360" w:lineRule="exact"/>
              <w:jc w:val="center"/>
              <w:rPr>
                <w:rFonts w:ascii="宋体" w:hAnsi="宋体"/>
                <w:b/>
                <w:snapToGrid w:val="0"/>
                <w:kern w:val="0"/>
                <w:szCs w:val="21"/>
              </w:rPr>
            </w:pPr>
            <w:r>
              <w:rPr>
                <w:rFonts w:hint="eastAsia" w:ascii="宋体" w:hAnsi="宋体"/>
                <w:b/>
                <w:snapToGrid w:val="0"/>
                <w:kern w:val="0"/>
                <w:szCs w:val="21"/>
              </w:rPr>
              <w:t>系统平台</w:t>
            </w:r>
            <w:r>
              <w:rPr>
                <w:rFonts w:ascii="宋体" w:hAnsi="宋体"/>
                <w:b/>
                <w:snapToGrid w:val="0"/>
                <w:kern w:val="0"/>
                <w:szCs w:val="21"/>
              </w:rPr>
              <w:t>名称</w:t>
            </w:r>
          </w:p>
        </w:tc>
        <w:tc>
          <w:tcPr>
            <w:tcW w:w="1173" w:type="dxa"/>
            <w:vAlign w:val="center"/>
          </w:tcPr>
          <w:p>
            <w:pPr>
              <w:adjustRightInd w:val="0"/>
              <w:snapToGrid w:val="0"/>
              <w:spacing w:line="360" w:lineRule="exact"/>
              <w:jc w:val="center"/>
              <w:rPr>
                <w:rFonts w:ascii="宋体" w:hAnsi="宋体"/>
                <w:b/>
                <w:snapToGrid w:val="0"/>
                <w:kern w:val="0"/>
                <w:szCs w:val="21"/>
              </w:rPr>
            </w:pPr>
            <w:r>
              <w:rPr>
                <w:rFonts w:ascii="宋体" w:hAnsi="宋体"/>
                <w:b/>
                <w:snapToGrid w:val="0"/>
                <w:kern w:val="0"/>
                <w:szCs w:val="21"/>
              </w:rPr>
              <w:t>数量</w:t>
            </w:r>
          </w:p>
        </w:tc>
        <w:tc>
          <w:tcPr>
            <w:tcW w:w="2434" w:type="dxa"/>
            <w:vAlign w:val="center"/>
          </w:tcPr>
          <w:p>
            <w:pPr>
              <w:adjustRightInd w:val="0"/>
              <w:snapToGrid w:val="0"/>
              <w:spacing w:line="360" w:lineRule="exact"/>
              <w:jc w:val="center"/>
              <w:rPr>
                <w:rFonts w:ascii="宋体" w:hAnsi="宋体"/>
                <w:b/>
                <w:snapToGrid w:val="0"/>
                <w:kern w:val="0"/>
                <w:szCs w:val="21"/>
              </w:rPr>
            </w:pPr>
            <w:r>
              <w:rPr>
                <w:rFonts w:hint="eastAsia" w:ascii="宋体" w:hAnsi="宋体"/>
                <w:b/>
                <w:snapToGrid w:val="0"/>
                <w:kern w:val="0"/>
                <w:szCs w:val="21"/>
              </w:rPr>
              <w:t>总</w:t>
            </w:r>
            <w:r>
              <w:rPr>
                <w:rFonts w:ascii="宋体" w:hAnsi="宋体"/>
                <w:b/>
                <w:snapToGrid w:val="0"/>
                <w:kern w:val="0"/>
                <w:szCs w:val="21"/>
              </w:rPr>
              <w:t>价</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60" w:lineRule="exact"/>
              <w:jc w:val="center"/>
              <w:rPr>
                <w:rFonts w:ascii="宋体" w:hAnsi="宋体"/>
                <w:snapToGrid w:val="0"/>
                <w:kern w:val="0"/>
                <w:szCs w:val="21"/>
              </w:rPr>
            </w:pPr>
            <w:r>
              <w:rPr>
                <w:rFonts w:ascii="宋体" w:hAnsi="宋体"/>
                <w:snapToGrid w:val="0"/>
                <w:kern w:val="0"/>
                <w:szCs w:val="21"/>
              </w:rPr>
              <w:t>1</w:t>
            </w:r>
          </w:p>
        </w:tc>
        <w:tc>
          <w:tcPr>
            <w:tcW w:w="4331"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b/>
                <w:szCs w:val="21"/>
              </w:rPr>
              <w:t>市本级水旱灾害监测预警平台</w:t>
            </w:r>
          </w:p>
        </w:tc>
        <w:tc>
          <w:tcPr>
            <w:tcW w:w="117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w:t>
            </w:r>
          </w:p>
        </w:tc>
        <w:tc>
          <w:tcPr>
            <w:tcW w:w="2434" w:type="dxa"/>
            <w:vAlign w:val="center"/>
          </w:tcPr>
          <w:p>
            <w:pPr>
              <w:adjustRightInd w:val="0"/>
              <w:snapToGrid w:val="0"/>
              <w:spacing w:line="360" w:lineRule="exact"/>
              <w:jc w:val="center"/>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7" w:type="dxa"/>
            <w:vAlign w:val="center"/>
          </w:tcPr>
          <w:p>
            <w:pPr>
              <w:adjustRightInd w:val="0"/>
              <w:snapToGrid w:val="0"/>
              <w:spacing w:line="360" w:lineRule="exact"/>
              <w:jc w:val="center"/>
              <w:rPr>
                <w:rFonts w:ascii="宋体" w:hAnsi="宋体"/>
                <w:snapToGrid w:val="0"/>
                <w:kern w:val="0"/>
                <w:szCs w:val="21"/>
              </w:rPr>
            </w:pPr>
            <w:r>
              <w:rPr>
                <w:rFonts w:ascii="宋体" w:hAnsi="宋体"/>
                <w:snapToGrid w:val="0"/>
                <w:kern w:val="0"/>
                <w:szCs w:val="21"/>
              </w:rPr>
              <w:t>2</w:t>
            </w:r>
          </w:p>
        </w:tc>
        <w:tc>
          <w:tcPr>
            <w:tcW w:w="4331" w:type="dxa"/>
            <w:vAlign w:val="center"/>
          </w:tcPr>
          <w:p>
            <w:pPr>
              <w:adjustRightInd w:val="0"/>
              <w:snapToGrid w:val="0"/>
              <w:spacing w:line="360" w:lineRule="exact"/>
              <w:rPr>
                <w:rFonts w:ascii="宋体" w:hAnsi="宋体"/>
                <w:snapToGrid w:val="0"/>
                <w:kern w:val="0"/>
                <w:szCs w:val="21"/>
              </w:rPr>
            </w:pPr>
          </w:p>
        </w:tc>
        <w:tc>
          <w:tcPr>
            <w:tcW w:w="1173" w:type="dxa"/>
            <w:vAlign w:val="center"/>
          </w:tcPr>
          <w:p>
            <w:pPr>
              <w:adjustRightInd w:val="0"/>
              <w:snapToGrid w:val="0"/>
              <w:spacing w:line="360" w:lineRule="exact"/>
              <w:jc w:val="center"/>
              <w:rPr>
                <w:rFonts w:ascii="宋体" w:hAnsi="宋体"/>
                <w:snapToGrid w:val="0"/>
                <w:kern w:val="0"/>
                <w:szCs w:val="21"/>
              </w:rPr>
            </w:pPr>
          </w:p>
        </w:tc>
        <w:tc>
          <w:tcPr>
            <w:tcW w:w="2434" w:type="dxa"/>
            <w:vAlign w:val="center"/>
          </w:tcPr>
          <w:p>
            <w:pPr>
              <w:adjustRightInd w:val="0"/>
              <w:snapToGrid w:val="0"/>
              <w:spacing w:line="360" w:lineRule="exact"/>
              <w:jc w:val="center"/>
              <w:rPr>
                <w:rFonts w:ascii="宋体" w:hAnsi="宋体"/>
                <w:snapToGrid w:val="0"/>
                <w:kern w:val="0"/>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755" w:type="dxa"/>
            <w:gridSpan w:val="4"/>
            <w:vAlign w:val="center"/>
          </w:tcPr>
          <w:p>
            <w:pPr>
              <w:adjustRightInd w:val="0"/>
              <w:snapToGrid w:val="0"/>
              <w:spacing w:line="360" w:lineRule="exact"/>
              <w:jc w:val="left"/>
              <w:rPr>
                <w:rFonts w:ascii="宋体" w:hAnsi="宋体"/>
                <w:snapToGrid w:val="0"/>
                <w:kern w:val="0"/>
                <w:szCs w:val="21"/>
              </w:rPr>
            </w:pPr>
            <w:r>
              <w:rPr>
                <w:rFonts w:ascii="宋体" w:hAnsi="宋体"/>
                <w:snapToGrid w:val="0"/>
                <w:kern w:val="0"/>
                <w:szCs w:val="21"/>
              </w:rPr>
              <w:t>合计人民币（大写）：</w:t>
            </w:r>
          </w:p>
        </w:tc>
      </w:tr>
    </w:tbl>
    <w:p>
      <w:pPr>
        <w:spacing w:line="360" w:lineRule="exact"/>
        <w:ind w:right="-42" w:rightChars="-20" w:firstLine="420" w:firstLineChars="200"/>
        <w:rPr>
          <w:rFonts w:ascii="宋体" w:hAnsi="宋体"/>
          <w:szCs w:val="21"/>
        </w:rPr>
      </w:pPr>
      <w:r>
        <w:rPr>
          <w:rFonts w:hint="eastAsia" w:ascii="宋体" w:hAnsi="宋体"/>
          <w:szCs w:val="21"/>
        </w:rPr>
        <w:t>（二）项目需求</w:t>
      </w:r>
    </w:p>
    <w:p>
      <w:pPr>
        <w:spacing w:line="360" w:lineRule="exact"/>
        <w:ind w:right="-42" w:rightChars="-20" w:firstLine="420" w:firstLineChars="200"/>
        <w:rPr>
          <w:rFonts w:ascii="宋体" w:hAnsi="宋体"/>
          <w:szCs w:val="21"/>
        </w:rPr>
      </w:pPr>
      <w:r>
        <w:rPr>
          <w:rFonts w:hint="eastAsia" w:ascii="宋体" w:hAnsi="宋体"/>
          <w:szCs w:val="21"/>
        </w:rPr>
        <w:t>1.在本合同签订后的</w:t>
      </w:r>
      <w:r>
        <w:rPr>
          <w:rFonts w:ascii="宋体" w:hAnsi="宋体"/>
          <w:szCs w:val="21"/>
          <w:u w:val="single"/>
        </w:rPr>
        <w:t xml:space="preserve">10 </w:t>
      </w:r>
      <w:r>
        <w:rPr>
          <w:rFonts w:hint="eastAsia" w:ascii="宋体" w:hAnsi="宋体"/>
          <w:szCs w:val="21"/>
        </w:rPr>
        <w:t>个工作日内，乙方将根据项目标书要求及范围，开展针对甲方现有系统及整体运行环境的需求调研，并向甲方提交《设计方案》。经甲乙双方项目负责人签字确认的《设计方案》为本项目验收的依据。</w:t>
      </w:r>
    </w:p>
    <w:p>
      <w:pPr>
        <w:spacing w:line="360" w:lineRule="auto"/>
        <w:ind w:right="-42" w:rightChars="-20" w:firstLine="420" w:firstLineChars="200"/>
        <w:rPr>
          <w:rFonts w:ascii="宋体" w:hAnsi="宋体"/>
          <w:szCs w:val="21"/>
        </w:rPr>
      </w:pPr>
      <w:r>
        <w:rPr>
          <w:rFonts w:ascii="宋体" w:hAnsi="宋体"/>
          <w:szCs w:val="21"/>
        </w:rPr>
        <w:t>2.</w:t>
      </w:r>
      <w:r>
        <w:rPr>
          <w:rFonts w:hint="eastAsia" w:ascii="宋体" w:hAnsi="宋体"/>
          <w:szCs w:val="21"/>
        </w:rPr>
        <w:t>若乙方提供的《设计方案》达不到项目标书要求的，甲方有权终止本合同并要求乙方退回相关款项，同时甲方不再履行合同中的各项义务，由此造成的一切损失由乙方承担。</w:t>
      </w:r>
    </w:p>
    <w:p>
      <w:pPr>
        <w:spacing w:line="360" w:lineRule="auto"/>
        <w:ind w:right="-766" w:rightChars="-365" w:firstLine="420" w:firstLineChars="200"/>
        <w:rPr>
          <w:rFonts w:ascii="宋体" w:hAnsi="宋体"/>
          <w:szCs w:val="21"/>
        </w:rPr>
      </w:pPr>
      <w:r>
        <w:rPr>
          <w:rFonts w:hint="eastAsia" w:ascii="宋体" w:hAnsi="宋体"/>
          <w:szCs w:val="21"/>
        </w:rPr>
        <w:t>（三）系统维护与技术支持服务</w:t>
      </w:r>
    </w:p>
    <w:p>
      <w:pPr>
        <w:autoSpaceDE w:val="0"/>
        <w:autoSpaceDN w:val="0"/>
        <w:adjustRightInd w:val="0"/>
        <w:spacing w:line="360" w:lineRule="auto"/>
        <w:ind w:firstLine="420" w:firstLineChars="200"/>
        <w:jc w:val="left"/>
        <w:rPr>
          <w:rFonts w:ascii="宋体" w:hAnsi="宋体"/>
          <w:szCs w:val="21"/>
        </w:rPr>
      </w:pPr>
      <w:r>
        <w:rPr>
          <w:rFonts w:ascii="宋体" w:hAnsi="宋体"/>
          <w:szCs w:val="21"/>
        </w:rPr>
        <w:t>1</w:t>
      </w:r>
      <w:r>
        <w:rPr>
          <w:rFonts w:hint="eastAsia" w:ascii="宋体" w:hAnsi="宋体"/>
          <w:szCs w:val="21"/>
        </w:rPr>
        <w:t>.在本期项目验收通过后，乙方对系统提供</w:t>
      </w:r>
      <w:r>
        <w:rPr>
          <w:rFonts w:hint="eastAsia" w:ascii="宋体" w:hAnsi="宋体"/>
          <w:szCs w:val="21"/>
          <w:u w:val="single"/>
        </w:rPr>
        <w:t>两</w:t>
      </w:r>
      <w:r>
        <w:rPr>
          <w:rFonts w:hint="eastAsia" w:ascii="宋体" w:hAnsi="宋体"/>
          <w:szCs w:val="21"/>
        </w:rPr>
        <w:t>年免费纠错性维护和系统稳定运行的日常技术支持。乙方对该系统提供的系统维护方式如下：</w:t>
      </w:r>
    </w:p>
    <w:p>
      <w:pPr>
        <w:numPr>
          <w:ilvl w:val="0"/>
          <w:numId w:val="2"/>
        </w:numPr>
        <w:autoSpaceDE w:val="0"/>
        <w:autoSpaceDN w:val="0"/>
        <w:adjustRightInd w:val="0"/>
        <w:spacing w:line="360" w:lineRule="auto"/>
        <w:jc w:val="left"/>
        <w:rPr>
          <w:rFonts w:ascii="宋体" w:hAnsi="宋体"/>
          <w:szCs w:val="21"/>
        </w:rPr>
      </w:pPr>
      <w:r>
        <w:rPr>
          <w:rFonts w:ascii="宋体" w:hAnsi="宋体"/>
          <w:szCs w:val="21"/>
        </w:rPr>
        <w:t>乙方提供</w:t>
      </w:r>
      <w:r>
        <w:rPr>
          <w:rFonts w:hint="eastAsia" w:ascii="宋体" w:hAnsi="宋体"/>
          <w:szCs w:val="21"/>
          <w:u w:val="single"/>
        </w:rPr>
        <w:t>7*</w:t>
      </w:r>
      <w:r>
        <w:rPr>
          <w:rFonts w:ascii="宋体" w:hAnsi="宋体"/>
          <w:szCs w:val="21"/>
          <w:u w:val="single"/>
        </w:rPr>
        <w:t>24</w:t>
      </w:r>
      <w:r>
        <w:rPr>
          <w:rFonts w:ascii="宋体" w:hAnsi="宋体"/>
          <w:szCs w:val="21"/>
        </w:rPr>
        <w:t>小时热线远程技术支持</w:t>
      </w:r>
      <w:r>
        <w:rPr>
          <w:rFonts w:hint="eastAsia" w:ascii="宋体" w:hAnsi="宋体"/>
          <w:szCs w:val="21"/>
        </w:rPr>
        <w:t>；</w:t>
      </w:r>
    </w:p>
    <w:p>
      <w:pPr>
        <w:numPr>
          <w:ilvl w:val="0"/>
          <w:numId w:val="2"/>
        </w:numPr>
        <w:autoSpaceDE w:val="0"/>
        <w:autoSpaceDN w:val="0"/>
        <w:adjustRightInd w:val="0"/>
        <w:spacing w:line="360" w:lineRule="auto"/>
        <w:jc w:val="left"/>
        <w:rPr>
          <w:rFonts w:ascii="宋体" w:hAnsi="宋体"/>
          <w:szCs w:val="21"/>
        </w:rPr>
      </w:pPr>
      <w:r>
        <w:rPr>
          <w:rFonts w:ascii="宋体" w:hAnsi="宋体"/>
          <w:szCs w:val="21"/>
        </w:rPr>
        <w:t>软件故障报修在</w:t>
      </w:r>
      <w:r>
        <w:rPr>
          <w:rFonts w:ascii="宋体" w:hAnsi="宋体"/>
          <w:szCs w:val="21"/>
          <w:u w:val="single"/>
        </w:rPr>
        <w:t xml:space="preserve"> 1 </w:t>
      </w:r>
      <w:r>
        <w:rPr>
          <w:rFonts w:hint="eastAsia" w:ascii="宋体" w:hAnsi="宋体"/>
          <w:szCs w:val="21"/>
        </w:rPr>
        <w:t>小时内响应，紧急问题在</w:t>
      </w:r>
      <w:r>
        <w:rPr>
          <w:rFonts w:ascii="宋体" w:hAnsi="宋体"/>
          <w:szCs w:val="21"/>
          <w:u w:val="single"/>
        </w:rPr>
        <w:t xml:space="preserve"> 4 </w:t>
      </w:r>
      <w:r>
        <w:rPr>
          <w:rFonts w:hint="eastAsia" w:ascii="宋体" w:hAnsi="宋体"/>
          <w:szCs w:val="21"/>
        </w:rPr>
        <w:t>小时内通过远程方式处理，一般问题在</w:t>
      </w:r>
      <w:r>
        <w:rPr>
          <w:rFonts w:ascii="宋体" w:hAnsi="宋体"/>
          <w:szCs w:val="21"/>
          <w:u w:val="single"/>
        </w:rPr>
        <w:t xml:space="preserve">10 </w:t>
      </w:r>
      <w:r>
        <w:rPr>
          <w:rFonts w:hint="eastAsia" w:ascii="宋体" w:hAnsi="宋体"/>
          <w:szCs w:val="21"/>
        </w:rPr>
        <w:t>小时内通过远程方式处理，若无法通过远程方式解决的，在</w:t>
      </w:r>
      <w:r>
        <w:rPr>
          <w:rFonts w:ascii="宋体" w:hAnsi="宋体"/>
          <w:szCs w:val="21"/>
          <w:u w:val="single"/>
        </w:rPr>
        <w:t xml:space="preserve"> 24 </w:t>
      </w:r>
      <w:r>
        <w:rPr>
          <w:rFonts w:hint="eastAsia" w:ascii="宋体" w:hAnsi="宋体"/>
          <w:szCs w:val="21"/>
        </w:rPr>
        <w:t>小时内达到现场解决问题；</w:t>
      </w:r>
    </w:p>
    <w:p>
      <w:pPr>
        <w:numPr>
          <w:ilvl w:val="0"/>
          <w:numId w:val="2"/>
        </w:numPr>
        <w:autoSpaceDE w:val="0"/>
        <w:autoSpaceDN w:val="0"/>
        <w:adjustRightInd w:val="0"/>
        <w:spacing w:line="360" w:lineRule="auto"/>
        <w:jc w:val="left"/>
        <w:rPr>
          <w:rFonts w:ascii="宋体" w:hAnsi="宋体"/>
          <w:szCs w:val="21"/>
        </w:rPr>
      </w:pPr>
      <w:r>
        <w:rPr>
          <w:rFonts w:ascii="宋体" w:hAnsi="宋体"/>
          <w:szCs w:val="21"/>
        </w:rPr>
        <w:t>免费维护期内</w:t>
      </w:r>
      <w:r>
        <w:rPr>
          <w:rFonts w:hint="eastAsia" w:ascii="宋体" w:hAnsi="宋体"/>
          <w:szCs w:val="21"/>
        </w:rPr>
        <w:t>，</w:t>
      </w:r>
      <w:r>
        <w:rPr>
          <w:rFonts w:ascii="宋体" w:hAnsi="宋体"/>
          <w:szCs w:val="21"/>
        </w:rPr>
        <w:t>提供免费的系统升级及文档更新服务</w:t>
      </w:r>
      <w:r>
        <w:rPr>
          <w:rFonts w:hint="eastAsia" w:ascii="宋体" w:hAnsi="宋体"/>
          <w:szCs w:val="21"/>
        </w:rPr>
        <w:t>；</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szCs w:val="21"/>
        </w:rPr>
        <w:t>乙方对甲方系统</w:t>
      </w:r>
      <w:r>
        <w:rPr>
          <w:rFonts w:hint="eastAsia" w:ascii="宋体" w:hAnsi="宋体"/>
          <w:szCs w:val="21"/>
          <w:u w:val="single"/>
        </w:rPr>
        <w:t>每季度</w:t>
      </w:r>
      <w:r>
        <w:rPr>
          <w:rFonts w:hint="eastAsia" w:ascii="宋体" w:hAnsi="宋体"/>
          <w:szCs w:val="21"/>
        </w:rPr>
        <w:t>进行一次现场巡访，深入了解用户的系统使用情况，为用户解决系统的相关问题。</w:t>
      </w:r>
    </w:p>
    <w:p>
      <w:pPr>
        <w:numPr>
          <w:ilvl w:val="0"/>
          <w:numId w:val="3"/>
        </w:num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在系统维护升级服务期后，乙方应继续承担其后续系统维护升级服务，并给予甲方优惠的服务费率，具体费用由双方根据乙方的实际工作内容和工作量酌情协商确定，并另行签订系统维护服务合同。收取服务费后，乙方服务人员上门为甲方安装调试软件，不得以任何借口向甲方索取劳务费和加班费。</w:t>
      </w:r>
    </w:p>
    <w:p>
      <w:pPr>
        <w:autoSpaceDE w:val="0"/>
        <w:autoSpaceDN w:val="0"/>
        <w:adjustRightInd w:val="0"/>
        <w:spacing w:before="120" w:beforeLines="50" w:line="360" w:lineRule="auto"/>
        <w:ind w:firstLine="422" w:firstLineChars="200"/>
        <w:jc w:val="left"/>
        <w:rPr>
          <w:rFonts w:ascii="宋体" w:hAnsi="宋体"/>
          <w:b/>
          <w:szCs w:val="21"/>
        </w:rPr>
      </w:pPr>
      <w:r>
        <w:rPr>
          <w:rFonts w:hint="eastAsia" w:ascii="宋体" w:hAnsi="宋体"/>
          <w:b/>
          <w:szCs w:val="21"/>
        </w:rPr>
        <w:t>三、</w:t>
      </w:r>
      <w:r>
        <w:rPr>
          <w:rFonts w:ascii="宋体" w:hAnsi="宋体"/>
          <w:b/>
          <w:szCs w:val="21"/>
        </w:rPr>
        <w:t>项目</w:t>
      </w:r>
      <w:r>
        <w:rPr>
          <w:rFonts w:hint="eastAsia" w:ascii="宋体" w:hAnsi="宋体"/>
          <w:b/>
          <w:szCs w:val="21"/>
        </w:rPr>
        <w:t>履行</w:t>
      </w:r>
      <w:r>
        <w:rPr>
          <w:rFonts w:ascii="宋体" w:hAnsi="宋体"/>
          <w:b/>
          <w:szCs w:val="21"/>
        </w:rPr>
        <w:t>的计划</w:t>
      </w:r>
      <w:r>
        <w:rPr>
          <w:rFonts w:hint="eastAsia" w:ascii="宋体" w:hAnsi="宋体"/>
          <w:b/>
          <w:szCs w:val="21"/>
        </w:rPr>
        <w:t>、</w:t>
      </w:r>
      <w:r>
        <w:rPr>
          <w:rFonts w:ascii="宋体" w:hAnsi="宋体"/>
          <w:b/>
          <w:szCs w:val="21"/>
        </w:rPr>
        <w:t>进度</w:t>
      </w:r>
      <w:r>
        <w:rPr>
          <w:rFonts w:hint="eastAsia" w:ascii="宋体" w:hAnsi="宋体"/>
          <w:b/>
          <w:szCs w:val="21"/>
        </w:rPr>
        <w:t>、</w:t>
      </w:r>
      <w:r>
        <w:rPr>
          <w:rFonts w:ascii="宋体" w:hAnsi="宋体"/>
          <w:b/>
          <w:szCs w:val="21"/>
        </w:rPr>
        <w:t>期限和方式</w:t>
      </w:r>
    </w:p>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1．系统开发及提交计划如下：</w:t>
      </w:r>
    </w:p>
    <w:tbl>
      <w:tblPr>
        <w:tblStyle w:val="45"/>
        <w:tblW w:w="852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60"/>
        <w:gridCol w:w="2410"/>
        <w:gridCol w:w="51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60" w:type="dxa"/>
            <w:shd w:val="clear" w:color="auto" w:fill="auto"/>
            <w:vAlign w:val="center"/>
          </w:tcPr>
          <w:p>
            <w:pPr>
              <w:autoSpaceDE w:val="0"/>
              <w:autoSpaceDN w:val="0"/>
              <w:adjustRightInd w:val="0"/>
              <w:spacing w:line="360" w:lineRule="auto"/>
              <w:jc w:val="center"/>
              <w:rPr>
                <w:rFonts w:ascii="宋体" w:hAnsi="宋体"/>
                <w:b/>
                <w:szCs w:val="21"/>
              </w:rPr>
            </w:pPr>
            <w:r>
              <w:rPr>
                <w:rFonts w:hint="eastAsia" w:ascii="宋体" w:hAnsi="宋体"/>
                <w:b/>
                <w:szCs w:val="21"/>
              </w:rPr>
              <w:t>序号</w:t>
            </w:r>
          </w:p>
        </w:tc>
        <w:tc>
          <w:tcPr>
            <w:tcW w:w="2410" w:type="dxa"/>
            <w:shd w:val="clear" w:color="auto" w:fill="auto"/>
            <w:vAlign w:val="center"/>
          </w:tcPr>
          <w:p>
            <w:pPr>
              <w:autoSpaceDE w:val="0"/>
              <w:autoSpaceDN w:val="0"/>
              <w:adjustRightInd w:val="0"/>
              <w:spacing w:line="360" w:lineRule="auto"/>
              <w:jc w:val="center"/>
              <w:rPr>
                <w:rFonts w:ascii="宋体" w:hAnsi="宋体"/>
                <w:b/>
                <w:szCs w:val="21"/>
              </w:rPr>
            </w:pPr>
            <w:r>
              <w:rPr>
                <w:rFonts w:hint="eastAsia" w:ascii="宋体" w:hAnsi="宋体"/>
                <w:b/>
                <w:szCs w:val="21"/>
              </w:rPr>
              <w:t>主要工作计划</w:t>
            </w:r>
          </w:p>
        </w:tc>
        <w:tc>
          <w:tcPr>
            <w:tcW w:w="5152" w:type="dxa"/>
            <w:shd w:val="clear" w:color="auto" w:fill="auto"/>
            <w:vAlign w:val="center"/>
          </w:tcPr>
          <w:p>
            <w:pPr>
              <w:autoSpaceDE w:val="0"/>
              <w:autoSpaceDN w:val="0"/>
              <w:adjustRightInd w:val="0"/>
              <w:spacing w:line="360" w:lineRule="auto"/>
              <w:jc w:val="center"/>
              <w:rPr>
                <w:rFonts w:ascii="宋体" w:hAnsi="宋体"/>
                <w:b/>
                <w:szCs w:val="21"/>
              </w:rPr>
            </w:pPr>
            <w:r>
              <w:rPr>
                <w:rFonts w:hint="eastAsia" w:ascii="宋体" w:hAnsi="宋体"/>
                <w:b/>
                <w:szCs w:val="21"/>
              </w:rPr>
              <w:t>时间进度安排</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60" w:type="dxa"/>
            <w:shd w:val="clear" w:color="auto" w:fill="auto"/>
            <w:vAlign w:val="center"/>
          </w:tcPr>
          <w:p>
            <w:pPr>
              <w:autoSpaceDE w:val="0"/>
              <w:autoSpaceDN w:val="0"/>
              <w:adjustRightInd w:val="0"/>
              <w:spacing w:line="360" w:lineRule="auto"/>
              <w:jc w:val="center"/>
              <w:rPr>
                <w:rFonts w:ascii="宋体" w:hAnsi="宋体"/>
                <w:szCs w:val="21"/>
              </w:rPr>
            </w:pPr>
            <w:r>
              <w:rPr>
                <w:rFonts w:hint="eastAsia" w:ascii="宋体" w:hAnsi="宋体"/>
                <w:szCs w:val="21"/>
              </w:rPr>
              <w:t>1</w:t>
            </w:r>
          </w:p>
        </w:tc>
        <w:tc>
          <w:tcPr>
            <w:tcW w:w="2410" w:type="dxa"/>
            <w:shd w:val="clear" w:color="auto" w:fill="auto"/>
            <w:vAlign w:val="center"/>
          </w:tcPr>
          <w:p>
            <w:pPr>
              <w:autoSpaceDE w:val="0"/>
              <w:autoSpaceDN w:val="0"/>
              <w:adjustRightInd w:val="0"/>
              <w:spacing w:line="360" w:lineRule="auto"/>
              <w:jc w:val="left"/>
              <w:rPr>
                <w:rFonts w:ascii="宋体" w:hAnsi="宋体"/>
                <w:szCs w:val="21"/>
              </w:rPr>
            </w:pPr>
            <w:r>
              <w:rPr>
                <w:rFonts w:hint="eastAsia" w:ascii="宋体" w:hAnsi="宋体"/>
                <w:szCs w:val="21"/>
              </w:rPr>
              <w:t>需求调研阶段</w:t>
            </w:r>
          </w:p>
        </w:tc>
        <w:tc>
          <w:tcPr>
            <w:tcW w:w="5152" w:type="dxa"/>
            <w:shd w:val="clear" w:color="auto" w:fill="auto"/>
            <w:vAlign w:val="center"/>
          </w:tcPr>
          <w:p>
            <w:pPr>
              <w:autoSpaceDE w:val="0"/>
              <w:autoSpaceDN w:val="0"/>
              <w:adjustRightInd w:val="0"/>
              <w:spacing w:line="360" w:lineRule="auto"/>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60" w:type="dxa"/>
            <w:shd w:val="clear" w:color="auto" w:fill="auto"/>
            <w:vAlign w:val="center"/>
          </w:tcPr>
          <w:p>
            <w:pPr>
              <w:autoSpaceDE w:val="0"/>
              <w:autoSpaceDN w:val="0"/>
              <w:adjustRightInd w:val="0"/>
              <w:spacing w:line="360" w:lineRule="auto"/>
              <w:jc w:val="center"/>
              <w:rPr>
                <w:rFonts w:ascii="宋体" w:hAnsi="宋体"/>
                <w:szCs w:val="21"/>
              </w:rPr>
            </w:pPr>
            <w:r>
              <w:rPr>
                <w:rFonts w:hint="eastAsia" w:ascii="宋体" w:hAnsi="宋体"/>
                <w:szCs w:val="21"/>
              </w:rPr>
              <w:t>2</w:t>
            </w:r>
          </w:p>
        </w:tc>
        <w:tc>
          <w:tcPr>
            <w:tcW w:w="2410" w:type="dxa"/>
            <w:shd w:val="clear" w:color="auto" w:fill="auto"/>
            <w:vAlign w:val="center"/>
          </w:tcPr>
          <w:p>
            <w:pPr>
              <w:autoSpaceDE w:val="0"/>
              <w:autoSpaceDN w:val="0"/>
              <w:adjustRightInd w:val="0"/>
              <w:spacing w:line="360" w:lineRule="auto"/>
              <w:jc w:val="left"/>
              <w:rPr>
                <w:rFonts w:ascii="宋体" w:hAnsi="宋体"/>
                <w:szCs w:val="21"/>
              </w:rPr>
            </w:pPr>
            <w:r>
              <w:rPr>
                <w:rFonts w:hint="eastAsia" w:ascii="宋体" w:hAnsi="宋体"/>
                <w:szCs w:val="21"/>
              </w:rPr>
              <w:t>设计开发测试阶段</w:t>
            </w:r>
          </w:p>
        </w:tc>
        <w:tc>
          <w:tcPr>
            <w:tcW w:w="5152" w:type="dxa"/>
            <w:shd w:val="clear" w:color="auto" w:fill="auto"/>
            <w:vAlign w:val="center"/>
          </w:tcPr>
          <w:p>
            <w:pPr>
              <w:autoSpaceDE w:val="0"/>
              <w:autoSpaceDN w:val="0"/>
              <w:adjustRightInd w:val="0"/>
              <w:spacing w:line="360" w:lineRule="auto"/>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60" w:type="dxa"/>
            <w:shd w:val="clear" w:color="auto" w:fill="auto"/>
            <w:vAlign w:val="center"/>
          </w:tcPr>
          <w:p>
            <w:pPr>
              <w:autoSpaceDE w:val="0"/>
              <w:autoSpaceDN w:val="0"/>
              <w:adjustRightInd w:val="0"/>
              <w:spacing w:line="360" w:lineRule="auto"/>
              <w:jc w:val="center"/>
              <w:rPr>
                <w:rFonts w:ascii="宋体" w:hAnsi="宋体"/>
                <w:szCs w:val="21"/>
              </w:rPr>
            </w:pPr>
            <w:r>
              <w:rPr>
                <w:rFonts w:hint="eastAsia" w:ascii="宋体" w:hAnsi="宋体"/>
                <w:szCs w:val="21"/>
              </w:rPr>
              <w:t>3</w:t>
            </w:r>
          </w:p>
        </w:tc>
        <w:tc>
          <w:tcPr>
            <w:tcW w:w="2410" w:type="dxa"/>
            <w:shd w:val="clear" w:color="auto" w:fill="auto"/>
            <w:vAlign w:val="center"/>
          </w:tcPr>
          <w:p>
            <w:pPr>
              <w:autoSpaceDE w:val="0"/>
              <w:autoSpaceDN w:val="0"/>
              <w:adjustRightInd w:val="0"/>
              <w:spacing w:line="360" w:lineRule="auto"/>
              <w:jc w:val="left"/>
              <w:rPr>
                <w:rFonts w:ascii="宋体" w:hAnsi="宋体"/>
                <w:szCs w:val="21"/>
              </w:rPr>
            </w:pPr>
            <w:r>
              <w:rPr>
                <w:rFonts w:hint="eastAsia" w:ascii="宋体" w:hAnsi="宋体"/>
                <w:szCs w:val="21"/>
              </w:rPr>
              <w:t>现场部署测试阶段</w:t>
            </w:r>
          </w:p>
        </w:tc>
        <w:tc>
          <w:tcPr>
            <w:tcW w:w="5152" w:type="dxa"/>
            <w:shd w:val="clear" w:color="auto" w:fill="auto"/>
            <w:vAlign w:val="center"/>
          </w:tcPr>
          <w:p>
            <w:pPr>
              <w:autoSpaceDE w:val="0"/>
              <w:autoSpaceDN w:val="0"/>
              <w:adjustRightInd w:val="0"/>
              <w:spacing w:line="360" w:lineRule="auto"/>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60" w:type="dxa"/>
            <w:shd w:val="clear" w:color="auto" w:fill="auto"/>
            <w:vAlign w:val="center"/>
          </w:tcPr>
          <w:p>
            <w:pPr>
              <w:autoSpaceDE w:val="0"/>
              <w:autoSpaceDN w:val="0"/>
              <w:adjustRightInd w:val="0"/>
              <w:spacing w:line="360" w:lineRule="auto"/>
              <w:jc w:val="center"/>
              <w:rPr>
                <w:rFonts w:ascii="宋体" w:hAnsi="宋体"/>
                <w:szCs w:val="21"/>
              </w:rPr>
            </w:pPr>
            <w:r>
              <w:rPr>
                <w:rFonts w:hint="eastAsia" w:ascii="宋体" w:hAnsi="宋体"/>
                <w:szCs w:val="21"/>
              </w:rPr>
              <w:t>4</w:t>
            </w:r>
          </w:p>
        </w:tc>
        <w:tc>
          <w:tcPr>
            <w:tcW w:w="2410" w:type="dxa"/>
            <w:shd w:val="clear" w:color="auto" w:fill="auto"/>
            <w:vAlign w:val="center"/>
          </w:tcPr>
          <w:p>
            <w:pPr>
              <w:autoSpaceDE w:val="0"/>
              <w:autoSpaceDN w:val="0"/>
              <w:adjustRightInd w:val="0"/>
              <w:spacing w:line="360" w:lineRule="auto"/>
              <w:jc w:val="left"/>
              <w:rPr>
                <w:rFonts w:ascii="宋体" w:hAnsi="宋体"/>
                <w:szCs w:val="21"/>
              </w:rPr>
            </w:pPr>
            <w:r>
              <w:rPr>
                <w:rFonts w:hint="eastAsia" w:ascii="宋体" w:hAnsi="宋体"/>
                <w:szCs w:val="21"/>
              </w:rPr>
              <w:t>试运行阶段</w:t>
            </w:r>
          </w:p>
        </w:tc>
        <w:tc>
          <w:tcPr>
            <w:tcW w:w="5152" w:type="dxa"/>
            <w:shd w:val="clear" w:color="auto" w:fill="auto"/>
            <w:vAlign w:val="center"/>
          </w:tcPr>
          <w:p>
            <w:pPr>
              <w:autoSpaceDE w:val="0"/>
              <w:autoSpaceDN w:val="0"/>
              <w:adjustRightInd w:val="0"/>
              <w:spacing w:line="360" w:lineRule="auto"/>
              <w:jc w:val="left"/>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60" w:type="dxa"/>
            <w:shd w:val="clear" w:color="auto" w:fill="auto"/>
            <w:vAlign w:val="center"/>
          </w:tcPr>
          <w:p>
            <w:pPr>
              <w:autoSpaceDE w:val="0"/>
              <w:autoSpaceDN w:val="0"/>
              <w:adjustRightInd w:val="0"/>
              <w:spacing w:line="360" w:lineRule="auto"/>
              <w:jc w:val="center"/>
              <w:rPr>
                <w:rFonts w:ascii="宋体" w:hAnsi="宋体"/>
                <w:szCs w:val="21"/>
              </w:rPr>
            </w:pPr>
            <w:r>
              <w:rPr>
                <w:rFonts w:hint="eastAsia" w:ascii="宋体" w:hAnsi="宋体"/>
                <w:szCs w:val="21"/>
              </w:rPr>
              <w:t>5</w:t>
            </w:r>
          </w:p>
        </w:tc>
        <w:tc>
          <w:tcPr>
            <w:tcW w:w="2410" w:type="dxa"/>
            <w:shd w:val="clear" w:color="auto" w:fill="auto"/>
            <w:vAlign w:val="center"/>
          </w:tcPr>
          <w:p>
            <w:pPr>
              <w:autoSpaceDE w:val="0"/>
              <w:autoSpaceDN w:val="0"/>
              <w:adjustRightInd w:val="0"/>
              <w:spacing w:line="360" w:lineRule="auto"/>
              <w:jc w:val="left"/>
              <w:rPr>
                <w:rFonts w:ascii="宋体" w:hAnsi="宋体"/>
                <w:szCs w:val="21"/>
              </w:rPr>
            </w:pPr>
            <w:r>
              <w:rPr>
                <w:rFonts w:hint="eastAsia" w:ascii="宋体" w:hAnsi="宋体"/>
                <w:szCs w:val="21"/>
              </w:rPr>
              <w:t>系统验收阶段</w:t>
            </w:r>
          </w:p>
        </w:tc>
        <w:tc>
          <w:tcPr>
            <w:tcW w:w="5152" w:type="dxa"/>
            <w:shd w:val="clear" w:color="auto" w:fill="auto"/>
            <w:vAlign w:val="center"/>
          </w:tcPr>
          <w:p>
            <w:pPr>
              <w:autoSpaceDE w:val="0"/>
              <w:autoSpaceDN w:val="0"/>
              <w:adjustRightInd w:val="0"/>
              <w:spacing w:line="360" w:lineRule="auto"/>
              <w:jc w:val="left"/>
              <w:rPr>
                <w:rFonts w:ascii="宋体" w:hAnsi="宋体"/>
                <w:szCs w:val="21"/>
              </w:rPr>
            </w:pPr>
          </w:p>
        </w:tc>
      </w:tr>
    </w:tbl>
    <w:p>
      <w:pPr>
        <w:autoSpaceDE w:val="0"/>
        <w:autoSpaceDN w:val="0"/>
        <w:adjustRightInd w:val="0"/>
        <w:spacing w:line="360" w:lineRule="auto"/>
        <w:ind w:firstLine="420" w:firstLineChars="200"/>
        <w:jc w:val="left"/>
        <w:rPr>
          <w:rFonts w:ascii="宋体" w:hAnsi="宋体"/>
          <w:szCs w:val="21"/>
        </w:rPr>
      </w:pPr>
      <w:r>
        <w:rPr>
          <w:rFonts w:hint="eastAsia" w:ascii="宋体" w:hAnsi="宋体"/>
          <w:szCs w:val="21"/>
        </w:rPr>
        <w:t>2．双方项目负责人：</w:t>
      </w:r>
    </w:p>
    <w:tbl>
      <w:tblPr>
        <w:tblStyle w:val="45"/>
        <w:tblW w:w="8522"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663"/>
        <w:gridCol w:w="1416"/>
        <w:gridCol w:w="331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131" w:type="dxa"/>
            <w:shd w:val="clear" w:color="auto" w:fill="auto"/>
          </w:tcPr>
          <w:p>
            <w:pPr>
              <w:autoSpaceDE w:val="0"/>
              <w:autoSpaceDN w:val="0"/>
              <w:adjustRightInd w:val="0"/>
              <w:spacing w:line="360" w:lineRule="auto"/>
              <w:jc w:val="right"/>
              <w:rPr>
                <w:rFonts w:ascii="宋体" w:hAnsi="宋体"/>
                <w:szCs w:val="21"/>
              </w:rPr>
            </w:pPr>
            <w:r>
              <w:rPr>
                <w:rFonts w:hint="eastAsia" w:ascii="宋体" w:hAnsi="宋体"/>
                <w:szCs w:val="21"/>
              </w:rPr>
              <w:t>甲方项目负责人：</w:t>
            </w:r>
          </w:p>
        </w:tc>
        <w:tc>
          <w:tcPr>
            <w:tcW w:w="1663" w:type="dxa"/>
            <w:shd w:val="clear" w:color="auto" w:fill="auto"/>
          </w:tcPr>
          <w:p>
            <w:pPr>
              <w:autoSpaceDE w:val="0"/>
              <w:autoSpaceDN w:val="0"/>
              <w:adjustRightInd w:val="0"/>
              <w:spacing w:line="360" w:lineRule="auto"/>
              <w:jc w:val="center"/>
              <w:rPr>
                <w:rFonts w:ascii="宋体" w:hAnsi="宋体"/>
                <w:szCs w:val="21"/>
              </w:rPr>
            </w:pPr>
          </w:p>
        </w:tc>
        <w:tc>
          <w:tcPr>
            <w:tcW w:w="1416" w:type="dxa"/>
            <w:shd w:val="clear" w:color="auto" w:fill="auto"/>
          </w:tcPr>
          <w:p>
            <w:pPr>
              <w:autoSpaceDE w:val="0"/>
              <w:autoSpaceDN w:val="0"/>
              <w:adjustRightInd w:val="0"/>
              <w:spacing w:line="360" w:lineRule="auto"/>
              <w:jc w:val="right"/>
              <w:rPr>
                <w:rFonts w:ascii="宋体" w:hAnsi="宋体"/>
                <w:szCs w:val="21"/>
              </w:rPr>
            </w:pPr>
            <w:r>
              <w:rPr>
                <w:rFonts w:hint="eastAsia" w:ascii="宋体" w:hAnsi="宋体"/>
                <w:szCs w:val="21"/>
              </w:rPr>
              <w:t>联系电话：</w:t>
            </w:r>
          </w:p>
        </w:tc>
        <w:tc>
          <w:tcPr>
            <w:tcW w:w="3312" w:type="dxa"/>
            <w:shd w:val="clear" w:color="auto" w:fill="auto"/>
          </w:tcPr>
          <w:p>
            <w:pPr>
              <w:autoSpaceDE w:val="0"/>
              <w:autoSpaceDN w:val="0"/>
              <w:adjustRightInd w:val="0"/>
              <w:spacing w:line="360" w:lineRule="auto"/>
              <w:jc w:val="center"/>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2131" w:type="dxa"/>
            <w:shd w:val="clear" w:color="auto" w:fill="auto"/>
          </w:tcPr>
          <w:p>
            <w:pPr>
              <w:autoSpaceDE w:val="0"/>
              <w:autoSpaceDN w:val="0"/>
              <w:adjustRightInd w:val="0"/>
              <w:spacing w:line="360" w:lineRule="auto"/>
              <w:jc w:val="right"/>
              <w:rPr>
                <w:rFonts w:ascii="宋体" w:hAnsi="宋体"/>
                <w:szCs w:val="21"/>
              </w:rPr>
            </w:pPr>
            <w:r>
              <w:rPr>
                <w:rFonts w:hint="eastAsia" w:ascii="宋体" w:hAnsi="宋体"/>
                <w:szCs w:val="21"/>
              </w:rPr>
              <w:t>乙方项目负责人：</w:t>
            </w:r>
          </w:p>
        </w:tc>
        <w:tc>
          <w:tcPr>
            <w:tcW w:w="1663" w:type="dxa"/>
            <w:shd w:val="clear" w:color="auto" w:fill="auto"/>
          </w:tcPr>
          <w:p>
            <w:pPr>
              <w:autoSpaceDE w:val="0"/>
              <w:autoSpaceDN w:val="0"/>
              <w:adjustRightInd w:val="0"/>
              <w:spacing w:line="360" w:lineRule="auto"/>
              <w:jc w:val="left"/>
              <w:rPr>
                <w:rFonts w:ascii="宋体" w:hAnsi="宋体"/>
                <w:szCs w:val="21"/>
              </w:rPr>
            </w:pPr>
          </w:p>
        </w:tc>
        <w:tc>
          <w:tcPr>
            <w:tcW w:w="1416" w:type="dxa"/>
            <w:shd w:val="clear" w:color="auto" w:fill="auto"/>
          </w:tcPr>
          <w:p>
            <w:pPr>
              <w:autoSpaceDE w:val="0"/>
              <w:autoSpaceDN w:val="0"/>
              <w:adjustRightInd w:val="0"/>
              <w:spacing w:line="360" w:lineRule="auto"/>
              <w:jc w:val="right"/>
              <w:rPr>
                <w:rFonts w:ascii="宋体" w:hAnsi="宋体"/>
                <w:szCs w:val="21"/>
              </w:rPr>
            </w:pPr>
            <w:r>
              <w:rPr>
                <w:rFonts w:hint="eastAsia" w:ascii="宋体" w:hAnsi="宋体"/>
                <w:szCs w:val="21"/>
              </w:rPr>
              <w:t>联系电话：</w:t>
            </w:r>
          </w:p>
        </w:tc>
        <w:tc>
          <w:tcPr>
            <w:tcW w:w="3312" w:type="dxa"/>
            <w:shd w:val="clear" w:color="auto" w:fill="auto"/>
          </w:tcPr>
          <w:p>
            <w:pPr>
              <w:autoSpaceDE w:val="0"/>
              <w:autoSpaceDN w:val="0"/>
              <w:adjustRightInd w:val="0"/>
              <w:spacing w:line="360" w:lineRule="auto"/>
              <w:jc w:val="left"/>
              <w:rPr>
                <w:rFonts w:ascii="宋体" w:hAnsi="宋体"/>
                <w:szCs w:val="21"/>
              </w:rPr>
            </w:pPr>
          </w:p>
        </w:tc>
      </w:tr>
    </w:tbl>
    <w:p>
      <w:pPr>
        <w:autoSpaceDE w:val="0"/>
        <w:autoSpaceDN w:val="0"/>
        <w:adjustRightInd w:val="0"/>
        <w:spacing w:line="360" w:lineRule="auto"/>
        <w:ind w:firstLine="420" w:firstLineChars="200"/>
        <w:rPr>
          <w:rFonts w:ascii="宋体" w:hAnsi="宋体"/>
          <w:szCs w:val="21"/>
        </w:rPr>
      </w:pPr>
      <w:r>
        <w:rPr>
          <w:rFonts w:hint="eastAsia" w:ascii="宋体" w:hAnsi="宋体"/>
          <w:szCs w:val="21"/>
        </w:rPr>
        <w:t>经以上双方项目负责人代表各方签署的本合同，约定项目有关的商务、技术、实施文档等具有法律效力，若一方需变更联系人，应提前通知另一方。</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四、需求变更</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1．甲方有对项目需求的变更，以书面形式通知乙方。乙方须在</w:t>
      </w:r>
      <w:r>
        <w:rPr>
          <w:rFonts w:ascii="宋体" w:hAnsi="宋体"/>
          <w:szCs w:val="21"/>
        </w:rPr>
        <w:t>5</w:t>
      </w:r>
      <w:r>
        <w:rPr>
          <w:rFonts w:hint="eastAsia" w:ascii="宋体" w:hAnsi="宋体"/>
          <w:szCs w:val="21"/>
        </w:rPr>
        <w:t>个工作日内作出回应，回应内容包括乙方建议的具体更改方案，如果变更会影响日程安排及人力投入，甲乙双方可协商解决，若无法达成一致意见，乙方必须按《用户需求书》执行。</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2．乙方有对项目变更的建议，以书面形式告知甲方，若不影响项目建设需求，经甲方同意后方可执行；若双方无法达成一致意见，乙方必须按《用户需求书》执行。</w:t>
      </w:r>
    </w:p>
    <w:p>
      <w:pPr>
        <w:autoSpaceDE w:val="0"/>
        <w:autoSpaceDN w:val="0"/>
        <w:adjustRightInd w:val="0"/>
        <w:spacing w:line="360" w:lineRule="auto"/>
        <w:ind w:firstLine="422" w:firstLineChars="200"/>
        <w:rPr>
          <w:rFonts w:ascii="宋体" w:hAnsi="宋体"/>
          <w:b/>
          <w:szCs w:val="21"/>
        </w:rPr>
      </w:pPr>
      <w:r>
        <w:rPr>
          <w:rFonts w:ascii="宋体" w:hAnsi="宋体"/>
          <w:b/>
          <w:szCs w:val="21"/>
        </w:rPr>
        <w:t>五</w:t>
      </w:r>
      <w:r>
        <w:rPr>
          <w:rFonts w:hint="eastAsia" w:ascii="宋体" w:hAnsi="宋体"/>
          <w:b/>
          <w:szCs w:val="21"/>
        </w:rPr>
        <w:t>、系统测试、试运行与培训</w:t>
      </w:r>
    </w:p>
    <w:p>
      <w:pPr>
        <w:autoSpaceDE w:val="0"/>
        <w:autoSpaceDN w:val="0"/>
        <w:adjustRightInd w:val="0"/>
        <w:spacing w:line="360" w:lineRule="auto"/>
        <w:ind w:firstLine="420" w:firstLineChars="200"/>
        <w:rPr>
          <w:rFonts w:ascii="宋体" w:hAnsi="宋体"/>
          <w:szCs w:val="21"/>
        </w:rPr>
      </w:pPr>
      <w:r>
        <w:rPr>
          <w:rFonts w:ascii="宋体" w:hAnsi="宋体"/>
          <w:szCs w:val="21"/>
        </w:rPr>
        <w:t>1</w:t>
      </w:r>
      <w:r>
        <w:rPr>
          <w:rFonts w:hint="eastAsia" w:ascii="宋体" w:hAnsi="宋体"/>
          <w:szCs w:val="21"/>
        </w:rPr>
        <w:t>．乙方完成系统开发后，应根据项目需求编写相关操作文档、测试方案，经甲方审定后，由乙方组织实施，甲方协助和提供配合。系统测试结束后，乙方应提交系统测试报告，甲方对系统测试情况进行审定，必要情况下甲方可进行复核测试。</w:t>
      </w:r>
    </w:p>
    <w:p>
      <w:pPr>
        <w:autoSpaceDE w:val="0"/>
        <w:autoSpaceDN w:val="0"/>
        <w:adjustRightIn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通过系统测试后，经乙方申请甲方审定，系统进入为期个月的试运行阶段。在试运行阶段，乙方对系统进行双方达成的开发内容范围内的功能性修改和完善，如出现系统级故障时，乙方需派出项目实施人员进行现场或远程技术支持。因系统故障或严重缺陷等原因，甲方可要求延长试运行时间。试运行结束后，乙方应提交试运行报告，甲方对试运行情况进行审定。</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3．乙方应根据项目实施的计划、进度和需求与甲方的合理要求，及时安排对甲方的相关人员进行培训，培训目标为受训者能够完成其操作对象，实现依据本合同所规定的信息系统的目标和功能。在系统测试与试运行阶段，乙方应编制相应的操作手册并对甲方有关人员分别进行系统的技术指导和培训，包括但不仅限于：</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系统管理人员技术指导：系统架构、常见故障诊断和排除技术。</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系统维护人员：系统环境、系统设计思想和功能现状日常维护管理相关注意事项、操作步骤和维护过程中遇到的系统故障的判断和解决方法。</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系统使用人员：相关系统操作、简单维护、常见错误处理。</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六、验收标准和方法</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1．甲、乙双方签字确认的《软件开发需求分析说明书》及经双方确认之需求变更等文件为项目验收的依据。</w:t>
      </w:r>
    </w:p>
    <w:p>
      <w:pPr>
        <w:autoSpaceDE w:val="0"/>
        <w:autoSpaceDN w:val="0"/>
        <w:adjustRightIn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在试运行结束后，乙方须提交《系统验收申请报告》及系统验收所需的符合功能和技术指标的可运行系统、技术文档等合同所要求的内容。以上内容以书面文档、介质或软件系统实体等形式提交。甲方审查确认无误后，由甲方组织有关专家进行验收，验收通过的双方在《系统验收报告》上签字。经双方签字确认的《系统验收报告》为系统验收通过的标志。验收费用由乙方承担。</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七、系统交付</w:t>
      </w:r>
    </w:p>
    <w:p>
      <w:pPr>
        <w:autoSpaceDE w:val="0"/>
        <w:autoSpaceDN w:val="0"/>
        <w:adjustRightInd w:val="0"/>
        <w:spacing w:line="360" w:lineRule="auto"/>
        <w:ind w:firstLine="420" w:firstLineChars="200"/>
        <w:rPr>
          <w:rFonts w:ascii="宋体" w:hAnsi="宋体"/>
          <w:szCs w:val="21"/>
        </w:rPr>
      </w:pPr>
      <w:r>
        <w:rPr>
          <w:rFonts w:ascii="宋体" w:hAnsi="宋体"/>
          <w:szCs w:val="21"/>
        </w:rPr>
        <w:t>系统通过甲方验收是系统交付的前提</w:t>
      </w:r>
      <w:r>
        <w:rPr>
          <w:rFonts w:hint="eastAsia" w:ascii="宋体" w:hAnsi="宋体"/>
          <w:szCs w:val="21"/>
        </w:rPr>
        <w:t>。</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1．正式交付时间</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本项目约定系统交付日期为自合同生效个月内，因项目需求变更、甲方原因导致乙方无法按时开展项目实施工作等情况的，按双方书面约定的时间给予顺延。</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2．文档交付内容</w:t>
      </w:r>
    </w:p>
    <w:p>
      <w:pPr>
        <w:autoSpaceDE w:val="0"/>
        <w:autoSpaceDN w:val="0"/>
        <w:adjustRightInd w:val="0"/>
        <w:spacing w:line="360" w:lineRule="auto"/>
        <w:ind w:firstLine="420" w:firstLineChars="200"/>
        <w:rPr>
          <w:rFonts w:ascii="宋体" w:hAnsi="宋体"/>
          <w:szCs w:val="21"/>
        </w:rPr>
      </w:pPr>
      <w:r>
        <w:rPr>
          <w:rFonts w:ascii="宋体" w:hAnsi="宋体"/>
          <w:szCs w:val="21"/>
        </w:rPr>
        <w:t>文档交付是系统交付不可分割的一部分</w:t>
      </w:r>
      <w:r>
        <w:rPr>
          <w:rFonts w:hint="eastAsia" w:ascii="宋体" w:hAnsi="宋体"/>
          <w:szCs w:val="21"/>
        </w:rPr>
        <w:t>，</w:t>
      </w:r>
      <w:r>
        <w:rPr>
          <w:rFonts w:ascii="宋体" w:hAnsi="宋体"/>
          <w:szCs w:val="21"/>
        </w:rPr>
        <w:t>应</w:t>
      </w:r>
      <w:r>
        <w:rPr>
          <w:rFonts w:hint="eastAsia" w:ascii="宋体" w:hAnsi="宋体"/>
          <w:szCs w:val="21"/>
        </w:rPr>
        <w:t>按</w:t>
      </w:r>
      <w:r>
        <w:rPr>
          <w:rFonts w:ascii="宋体" w:hAnsi="宋体"/>
          <w:szCs w:val="21"/>
        </w:rPr>
        <w:t>系统交付</w:t>
      </w:r>
      <w:r>
        <w:rPr>
          <w:rFonts w:hint="eastAsia" w:ascii="宋体" w:hAnsi="宋体"/>
          <w:szCs w:val="21"/>
        </w:rPr>
        <w:t>约定的内容和时间</w:t>
      </w:r>
      <w:r>
        <w:rPr>
          <w:rFonts w:ascii="宋体" w:hAnsi="宋体"/>
          <w:szCs w:val="21"/>
        </w:rPr>
        <w:t>一并进行</w:t>
      </w:r>
      <w:r>
        <w:rPr>
          <w:rFonts w:hint="eastAsia" w:ascii="宋体" w:hAnsi="宋体"/>
          <w:szCs w:val="21"/>
        </w:rPr>
        <w:t>。按照计算机软件工程规范国家标准分阶段交付系统完整的技术文档，包括但不限于《项目设计方案》、《项目实施方案》、《测试方案》、《测试报告》、《试运行报告》、《用户操作手册》，所交付的文档与文件应同时提供电子版本。</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3.系统通过验收后，乙方需向甲方提供系统开发源代码。双方确定，甲方有权利用乙方按照本合同约定提供的研究开发成果，进行后续改造。由此产生的具有实质性或创造性技术进步特征的技术成果机器权利归属，由甲方享有。</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八、保密事项</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1．甲方有责任对获知的乙方技术或商业秘密保守机密。</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2．乙方有责任对获知的甲方技术或商业秘密保守机密，并对系统中涉及甲方业务的关键数据（主要包括但不仅限于管理信息、业务流程、各类业务数据、技术诀窍、源代码、计算机文档等）保守机密。</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九、技术成果的归属</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w:t>
      </w:r>
      <w:r>
        <w:rPr>
          <w:rFonts w:ascii="宋体" w:hAnsi="宋体"/>
          <w:szCs w:val="21"/>
        </w:rPr>
        <w:t>一</w:t>
      </w:r>
      <w:r>
        <w:rPr>
          <w:rFonts w:hint="eastAsia" w:ascii="宋体" w:hAnsi="宋体"/>
          <w:szCs w:val="21"/>
        </w:rPr>
        <w:t>）知识产权</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除甲、乙双方在合同签署日前已经拥有或者已经登记的软件著作权外，在该项目中形成的技术成果知识产权归双方所有，非经双方书面确认，双方均不得就该项目中形成的知识产权进行商业推广。</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（二）技术秘密的使用权、转让权</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1．项目开发的技术成果，甲方有权在杭州市水文水资源监测总站范围内推广应用。对本项目形成的技术资料，用于总站范围内的项目，甲方单独享有知识产权。</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2．乙方拥有使用相同技术和界面风格开发其它系统的权力。</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3．甲方提供的有关需求的资料归甲方所有，乙方不得向任何第三方披露。</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十、责任和义务</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（一）甲方责任和义务</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1．甲方应明确参与本项目的人员，并在时间和工作安排上保证配合乙方开发的进度要求。</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2．对于乙方向甲方提交的任何工程文档及商务文档，甲方应以书面形式确认或者提出修改建议。</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3．甲方应确保本合同内容所必需的网络环境以及系统软件应符合项目建设要求。</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4．甲方应协调第三方（原有业务管理系统开发厂商）与甲方及乙方签订三方协议，并协调第三方配合乙方完成业务管理系统接口集成。</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5．甲方提供乙方人员在甲方开发调试的工作场地。</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6．在乙方工作满足要求的前提下，甲方保证验收按本合同规定的相应时间进行。</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7．甲方应遵守双方约定的付款方式。</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（二）乙方责任和义务</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1．乙方应遵守项目进度要求，确保甲方需求的实现，系统投入运行后能达到预定的功能要求和技术指标。</w:t>
      </w:r>
    </w:p>
    <w:p>
      <w:pPr>
        <w:autoSpaceDE w:val="0"/>
        <w:autoSpaceDN w:val="0"/>
        <w:adjustRightInd w:val="0"/>
        <w:spacing w:line="360" w:lineRule="auto"/>
        <w:ind w:firstLine="420" w:firstLineChars="200"/>
        <w:rPr>
          <w:rFonts w:ascii="宋体" w:hAnsi="宋体"/>
          <w:szCs w:val="21"/>
        </w:rPr>
      </w:pPr>
      <w:r>
        <w:rPr>
          <w:rFonts w:ascii="宋体" w:hAnsi="宋体"/>
          <w:szCs w:val="21"/>
        </w:rPr>
        <w:t>2</w:t>
      </w:r>
      <w:r>
        <w:rPr>
          <w:rFonts w:hint="eastAsia" w:ascii="宋体" w:hAnsi="宋体"/>
          <w:szCs w:val="21"/>
        </w:rPr>
        <w:t>．乙方在开发的不同阶段，应及时和甲方沟通，如有需求变更，经双方确认后应及时进行开发内容的调整。</w:t>
      </w:r>
    </w:p>
    <w:p>
      <w:pPr>
        <w:autoSpaceDE w:val="0"/>
        <w:autoSpaceDN w:val="0"/>
        <w:adjustRightInd w:val="0"/>
        <w:spacing w:line="360" w:lineRule="auto"/>
        <w:ind w:firstLine="420" w:firstLineChars="200"/>
        <w:rPr>
          <w:rFonts w:ascii="宋体" w:hAnsi="宋体"/>
          <w:szCs w:val="21"/>
        </w:rPr>
      </w:pPr>
      <w:r>
        <w:rPr>
          <w:rFonts w:ascii="宋体" w:hAnsi="宋体"/>
          <w:szCs w:val="21"/>
        </w:rPr>
        <w:t>3</w:t>
      </w:r>
      <w:r>
        <w:rPr>
          <w:rFonts w:hint="eastAsia" w:ascii="宋体" w:hAnsi="宋体"/>
          <w:szCs w:val="21"/>
        </w:rPr>
        <w:t>．在系统开发过程中，乙方必须遵守甲方的所有安全管理规定，如有违反则责任由乙方承担。</w:t>
      </w:r>
    </w:p>
    <w:p>
      <w:pPr>
        <w:autoSpaceDE w:val="0"/>
        <w:autoSpaceDN w:val="0"/>
        <w:adjustRightInd w:val="0"/>
        <w:spacing w:line="360" w:lineRule="auto"/>
        <w:ind w:firstLine="420" w:firstLineChars="200"/>
        <w:rPr>
          <w:rFonts w:ascii="宋体" w:hAnsi="宋体"/>
          <w:szCs w:val="21"/>
        </w:rPr>
      </w:pPr>
      <w:r>
        <w:rPr>
          <w:rFonts w:ascii="宋体" w:hAnsi="宋体"/>
          <w:szCs w:val="21"/>
        </w:rPr>
        <w:t>4</w:t>
      </w:r>
      <w:r>
        <w:rPr>
          <w:rFonts w:hint="eastAsia" w:ascii="宋体" w:hAnsi="宋体"/>
          <w:szCs w:val="21"/>
        </w:rPr>
        <w:t>．乙方项目组主要成员不得变动，如因特殊原因</w:t>
      </w:r>
      <w:r>
        <w:rPr>
          <w:rFonts w:hint="eastAsia" w:ascii="宋体" w:hAnsi="宋体" w:cs="宋体"/>
          <w:szCs w:val="21"/>
          <w:lang w:val="zh-CN"/>
        </w:rPr>
        <w:t>确需调整变动的，需提前</w:t>
      </w:r>
      <w:r>
        <w:rPr>
          <w:rFonts w:ascii="宋体" w:hAnsi="宋体" w:cs="宋体"/>
          <w:szCs w:val="21"/>
          <w:u w:val="single"/>
          <w:lang w:val="zh-CN"/>
        </w:rPr>
        <w:t>10</w:t>
      </w:r>
      <w:r>
        <w:rPr>
          <w:rFonts w:ascii="宋体" w:hAnsi="宋体" w:cs="宋体"/>
          <w:szCs w:val="21"/>
          <w:lang w:val="zh-CN"/>
        </w:rPr>
        <w:t>个工作日</w:t>
      </w:r>
      <w:r>
        <w:rPr>
          <w:rFonts w:hint="eastAsia" w:ascii="宋体" w:hAnsi="宋体" w:cs="宋体"/>
          <w:szCs w:val="21"/>
          <w:lang w:val="zh-CN"/>
        </w:rPr>
        <w:t>书面通知甲方，并征得甲方书面同意。替换的人员资历和级别不低于被替换人员。</w:t>
      </w:r>
    </w:p>
    <w:p>
      <w:pPr>
        <w:autoSpaceDE w:val="0"/>
        <w:autoSpaceDN w:val="0"/>
        <w:adjustRightInd w:val="0"/>
        <w:spacing w:before="120" w:beforeLines="50" w:line="360" w:lineRule="auto"/>
        <w:ind w:firstLine="422" w:firstLineChars="200"/>
        <w:rPr>
          <w:rFonts w:ascii="宋体" w:hAnsi="宋体"/>
          <w:b/>
          <w:szCs w:val="21"/>
        </w:rPr>
      </w:pPr>
      <w:r>
        <w:rPr>
          <w:rFonts w:ascii="宋体" w:hAnsi="宋体"/>
          <w:b/>
          <w:szCs w:val="21"/>
        </w:rPr>
        <w:t>十一</w:t>
      </w:r>
      <w:r>
        <w:rPr>
          <w:rFonts w:hint="eastAsia" w:ascii="宋体" w:hAnsi="宋体"/>
          <w:b/>
          <w:szCs w:val="21"/>
        </w:rPr>
        <w:t>、</w:t>
      </w:r>
      <w:r>
        <w:rPr>
          <w:rFonts w:ascii="宋体" w:hAnsi="宋体"/>
          <w:b/>
          <w:szCs w:val="21"/>
        </w:rPr>
        <w:t>质量保证金</w:t>
      </w:r>
    </w:p>
    <w:p>
      <w:pPr>
        <w:adjustRightInd w:val="0"/>
        <w:snapToGrid w:val="0"/>
        <w:spacing w:line="360" w:lineRule="auto"/>
        <w:ind w:firstLine="420" w:firstLineChars="200"/>
        <w:rPr>
          <w:rFonts w:ascii="宋体" w:hAnsi="宋体"/>
          <w:szCs w:val="21"/>
        </w:rPr>
      </w:pPr>
      <w:r>
        <w:rPr>
          <w:rFonts w:hint="eastAsia" w:ascii="宋体" w:hAnsi="宋体"/>
          <w:szCs w:val="21"/>
        </w:rPr>
        <w:t>乙方在合同生效后7个工作日内必须向甲方交纳中标总额的</w:t>
      </w:r>
      <w:r>
        <w:rPr>
          <w:rFonts w:ascii="宋体" w:hAnsi="宋体"/>
          <w:szCs w:val="21"/>
        </w:rPr>
        <w:t>%</w:t>
      </w:r>
      <w:r>
        <w:rPr>
          <w:rFonts w:hint="eastAsia" w:ascii="宋体" w:hAnsi="宋体"/>
          <w:szCs w:val="21"/>
        </w:rPr>
        <w:t>（计￥ 元）的质量保证金。质量保证金在仪器设备验收合格或服务完成后满24个月无发现有质量、维护、服务等问题，凭乙方开具的正规收据全额无息退还。</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十二、价款及其支付方式</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（一）合同总价</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经过甲乙双方的确认，本项目的合同总价为人民币（大写）（￥）（含验收费）。</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（二）支付方式</w:t>
      </w:r>
    </w:p>
    <w:p>
      <w:pPr>
        <w:spacing w:line="360" w:lineRule="auto"/>
        <w:ind w:left="567"/>
        <w:rPr>
          <w:rFonts w:ascii="宋体" w:hAnsi="宋体"/>
          <w:sz w:val="24"/>
        </w:rPr>
      </w:pPr>
      <w:r>
        <w:rPr>
          <w:rFonts w:ascii="宋体" w:hAnsi="宋体"/>
          <w:szCs w:val="21"/>
        </w:rPr>
        <w:t>采用分期支付：</w:t>
      </w:r>
    </w:p>
    <w:p>
      <w:pPr>
        <w:spacing w:line="360" w:lineRule="auto"/>
        <w:ind w:firstLine="420" w:firstLineChars="200"/>
        <w:rPr>
          <w:rFonts w:ascii="宋体" w:hAnsi="宋体"/>
          <w:szCs w:val="21"/>
        </w:rPr>
      </w:pPr>
      <w:r>
        <w:rPr>
          <w:rFonts w:hint="eastAsia" w:ascii="宋体" w:hAnsi="宋体"/>
          <w:szCs w:val="21"/>
        </w:rPr>
        <w:t>第一期</w:t>
      </w:r>
      <w:r>
        <w:rPr>
          <w:rFonts w:ascii="宋体" w:hAnsi="宋体"/>
          <w:szCs w:val="21"/>
        </w:rPr>
        <w:t>：</w:t>
      </w:r>
      <w:r>
        <w:rPr>
          <w:rFonts w:hint="eastAsia" w:ascii="宋体" w:hAnsi="宋体"/>
          <w:szCs w:val="21"/>
        </w:rPr>
        <w:t>签订合同后15个工作日内，支付合同额的30%；第二</w:t>
      </w:r>
      <w:r>
        <w:rPr>
          <w:rFonts w:ascii="宋体" w:hAnsi="宋体"/>
          <w:szCs w:val="21"/>
        </w:rPr>
        <w:t>期：</w:t>
      </w:r>
      <w:r>
        <w:rPr>
          <w:rFonts w:hint="eastAsia" w:ascii="宋体" w:hAnsi="宋体"/>
          <w:szCs w:val="21"/>
        </w:rPr>
        <w:t>2020年5月底前，项目初步验收后，支付合同额的50%；第三期</w:t>
      </w:r>
      <w:r>
        <w:rPr>
          <w:rFonts w:ascii="宋体" w:hAnsi="宋体"/>
          <w:szCs w:val="21"/>
        </w:rPr>
        <w:t>：</w:t>
      </w:r>
      <w:r>
        <w:rPr>
          <w:rFonts w:hint="eastAsia" w:ascii="宋体" w:hAnsi="宋体"/>
          <w:szCs w:val="21"/>
        </w:rPr>
        <w:t>2020年11月底，项目终验后，支付合同额的20%。</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十三、违约与赔偿责任</w:t>
      </w:r>
    </w:p>
    <w:p>
      <w:pPr>
        <w:spacing w:line="360" w:lineRule="exact"/>
        <w:ind w:firstLine="420" w:firstLineChars="200"/>
        <w:rPr>
          <w:rFonts w:ascii="宋体" w:hAnsi="宋体"/>
          <w:szCs w:val="21"/>
        </w:rPr>
      </w:pPr>
      <w:r>
        <w:rPr>
          <w:rFonts w:hint="eastAsia" w:ascii="宋体" w:hAnsi="宋体"/>
          <w:szCs w:val="21"/>
        </w:rPr>
        <w:t>1．乙方无正当理由逾期履行合同的，自逾期之日起，向甲方每日偿付合同总价款0.05</w:t>
      </w:r>
      <w:r>
        <w:rPr>
          <w:rFonts w:ascii="宋体" w:hAnsi="宋体"/>
          <w:szCs w:val="21"/>
        </w:rPr>
        <w:t>%</w:t>
      </w:r>
      <w:r>
        <w:rPr>
          <w:rFonts w:hint="eastAsia" w:ascii="宋体" w:hAnsi="宋体"/>
          <w:szCs w:val="21"/>
        </w:rPr>
        <w:t>（计￥元）的违约金。</w:t>
      </w:r>
    </w:p>
    <w:p>
      <w:pPr>
        <w:spacing w:line="360" w:lineRule="exact"/>
        <w:ind w:firstLine="420" w:firstLineChars="200"/>
        <w:rPr>
          <w:rFonts w:ascii="宋体" w:hAnsi="宋体"/>
          <w:szCs w:val="21"/>
        </w:rPr>
      </w:pPr>
      <w:r>
        <w:rPr>
          <w:rFonts w:hint="eastAsia" w:ascii="宋体" w:hAnsi="宋体"/>
          <w:szCs w:val="21"/>
        </w:rPr>
        <w:t>2．甲方无正当理由逾期支付货款的，自逾期之日起，向乙方每日偿付合同总价款0.05</w:t>
      </w:r>
      <w:r>
        <w:rPr>
          <w:rFonts w:ascii="宋体" w:hAnsi="宋体"/>
          <w:szCs w:val="21"/>
        </w:rPr>
        <w:t>%</w:t>
      </w:r>
      <w:r>
        <w:rPr>
          <w:rFonts w:hint="eastAsia" w:ascii="宋体" w:hAnsi="宋体"/>
          <w:szCs w:val="21"/>
        </w:rPr>
        <w:t>（计￥元）的违约金。</w:t>
      </w:r>
    </w:p>
    <w:p>
      <w:pPr>
        <w:adjustRightInd w:val="0"/>
        <w:snapToGrid w:val="0"/>
        <w:spacing w:line="360" w:lineRule="exact"/>
        <w:ind w:firstLine="420" w:firstLineChars="200"/>
        <w:rPr>
          <w:rFonts w:ascii="宋体" w:hAnsi="宋体"/>
          <w:szCs w:val="21"/>
        </w:rPr>
      </w:pPr>
      <w:r>
        <w:rPr>
          <w:rFonts w:hint="eastAsia" w:ascii="宋体" w:hAnsi="宋体"/>
          <w:szCs w:val="21"/>
        </w:rPr>
        <w:t>3．如乙方在合同生效后未能按合同约定的交货时间供货或未能如期履行合同规定的其他内容，造成甲方实际损失的，甲方有权通过调解、诉讼等方式向乙方追偿，并将实际情况报相关采购监管部门。</w:t>
      </w:r>
    </w:p>
    <w:p>
      <w:pPr>
        <w:spacing w:line="360" w:lineRule="exact"/>
        <w:ind w:firstLine="420" w:firstLineChars="200"/>
        <w:rPr>
          <w:rFonts w:ascii="宋体" w:hAnsi="宋体"/>
        </w:rPr>
      </w:pPr>
      <w:r>
        <w:rPr>
          <w:rFonts w:hint="eastAsia" w:ascii="宋体" w:hAnsi="宋体"/>
        </w:rPr>
        <w:t>4．乙方应保证甲方所采购的商品及其任何一部分，在使用时不受第三方提出侵犯其专利权、版权、商标权或其他权利的起诉。一旦出现侵权，乙方应承担全部责任。</w:t>
      </w:r>
    </w:p>
    <w:p>
      <w:pPr>
        <w:spacing w:line="360" w:lineRule="exact"/>
        <w:ind w:firstLine="420" w:firstLineChars="200"/>
        <w:rPr>
          <w:rFonts w:ascii="宋体" w:hAnsi="宋体"/>
        </w:rPr>
      </w:pPr>
      <w:r>
        <w:rPr>
          <w:rFonts w:hint="eastAsia" w:ascii="宋体" w:hAnsi="宋体"/>
        </w:rPr>
        <w:t>5．乙方在商品交付验收合格之日起壹年内违反本合同有关质量保证及售后服务的，甲方没收乙方所交的质量保证金，损失不足部分的赔偿由乙方承担；在商品交付验收合格之日起壹年后发生质量或维护问题的，乙方应承担损失赔偿责任，如有争议，则按本合同第九条处理。</w:t>
      </w:r>
    </w:p>
    <w:p>
      <w:pPr>
        <w:autoSpaceDE w:val="0"/>
        <w:autoSpaceDN w:val="0"/>
        <w:adjustRightInd w:val="0"/>
        <w:spacing w:before="120" w:beforeLines="50" w:line="360" w:lineRule="auto"/>
        <w:ind w:firstLine="422" w:firstLineChars="200"/>
        <w:rPr>
          <w:rFonts w:ascii="宋体" w:hAnsi="宋体"/>
          <w:b/>
          <w:szCs w:val="21"/>
        </w:rPr>
      </w:pPr>
      <w:r>
        <w:rPr>
          <w:rFonts w:hint="eastAsia" w:ascii="宋体" w:hAnsi="宋体"/>
          <w:b/>
          <w:szCs w:val="21"/>
        </w:rPr>
        <w:t>十四、</w:t>
      </w:r>
      <w:r>
        <w:rPr>
          <w:rFonts w:ascii="宋体" w:hAnsi="宋体"/>
          <w:b/>
          <w:szCs w:val="21"/>
        </w:rPr>
        <w:t>争议解决</w:t>
      </w:r>
    </w:p>
    <w:p>
      <w:pPr>
        <w:spacing w:line="360" w:lineRule="auto"/>
        <w:ind w:firstLine="420" w:firstLineChars="200"/>
        <w:rPr>
          <w:rFonts w:ascii="宋体" w:hAnsi="宋体"/>
        </w:rPr>
      </w:pPr>
      <w:r>
        <w:rPr>
          <w:rFonts w:hint="eastAsia" w:ascii="宋体" w:hAnsi="宋体"/>
        </w:rPr>
        <w:t>本合同在发生所供商品的质量、售后服务等问题时，各使用方有权直接向乙方索赔，签订必要的书面处理协议。如协商不成，向甲方所在地人民法院提起诉讼解决。</w:t>
      </w:r>
    </w:p>
    <w:p>
      <w:pPr>
        <w:spacing w:line="360" w:lineRule="auto"/>
        <w:ind w:firstLine="422" w:firstLineChars="200"/>
        <w:rPr>
          <w:rFonts w:ascii="宋体" w:hAnsi="宋体"/>
          <w:b/>
          <w:snapToGrid w:val="0"/>
          <w:szCs w:val="21"/>
        </w:rPr>
      </w:pPr>
      <w:r>
        <w:rPr>
          <w:rFonts w:hint="eastAsia" w:ascii="宋体" w:hAnsi="宋体"/>
          <w:b/>
          <w:snapToGrid w:val="0"/>
          <w:szCs w:val="21"/>
        </w:rPr>
        <w:t>十五条：双方约定的其他事项</w:t>
      </w:r>
    </w:p>
    <w:p>
      <w:pPr>
        <w:spacing w:line="360" w:lineRule="auto"/>
        <w:ind w:firstLine="422" w:firstLineChars="200"/>
        <w:rPr>
          <w:rFonts w:ascii="宋体" w:hAnsi="宋体"/>
          <w:b/>
          <w:snapToGrid w:val="0"/>
          <w:szCs w:val="21"/>
        </w:rPr>
      </w:pPr>
    </w:p>
    <w:p>
      <w:pPr>
        <w:spacing w:line="360" w:lineRule="auto"/>
        <w:ind w:firstLine="422" w:firstLineChars="200"/>
        <w:rPr>
          <w:rFonts w:ascii="宋体" w:hAnsi="宋体"/>
          <w:b/>
          <w:snapToGrid w:val="0"/>
          <w:szCs w:val="21"/>
        </w:rPr>
      </w:pPr>
      <w:r>
        <w:rPr>
          <w:rFonts w:hint="eastAsia" w:ascii="宋体" w:hAnsi="宋体"/>
          <w:b/>
          <w:snapToGrid w:val="0"/>
          <w:szCs w:val="21"/>
        </w:rPr>
        <w:t>十六条：合同生效</w:t>
      </w:r>
    </w:p>
    <w:p>
      <w:pPr>
        <w:adjustRightInd w:val="0"/>
        <w:snapToGrid w:val="0"/>
        <w:spacing w:line="360" w:lineRule="exact"/>
        <w:ind w:firstLine="420" w:firstLineChars="200"/>
        <w:rPr>
          <w:rFonts w:ascii="宋体" w:hAnsi="宋体"/>
          <w:snapToGrid w:val="0"/>
          <w:szCs w:val="21"/>
        </w:rPr>
      </w:pPr>
      <w:r>
        <w:rPr>
          <w:rFonts w:hint="eastAsia" w:ascii="宋体" w:hAnsi="宋体"/>
          <w:snapToGrid w:val="0"/>
          <w:szCs w:val="21"/>
        </w:rPr>
        <w:t>1．本合同经双方法定代表人或其授权委托人签字并加盖双方公章之日起生效。</w:t>
      </w:r>
    </w:p>
    <w:p>
      <w:pPr>
        <w:spacing w:line="440" w:lineRule="exact"/>
        <w:ind w:firstLine="420" w:firstLineChars="200"/>
        <w:rPr>
          <w:rFonts w:ascii="宋体" w:hAnsi="宋体"/>
          <w:snapToGrid w:val="0"/>
        </w:rPr>
      </w:pPr>
      <w:r>
        <w:rPr>
          <w:rFonts w:ascii="宋体" w:hAnsi="宋体"/>
          <w:snapToGrid w:val="0"/>
        </w:rPr>
        <w:t>2</w:t>
      </w:r>
      <w:r>
        <w:rPr>
          <w:rFonts w:hint="eastAsia" w:ascii="宋体" w:hAnsi="宋体"/>
          <w:snapToGrid w:val="0"/>
        </w:rPr>
        <w:t>．本合同一式</w:t>
      </w:r>
      <w:r>
        <w:rPr>
          <w:rFonts w:hint="eastAsia" w:ascii="宋体" w:hAnsi="宋体"/>
          <w:snapToGrid w:val="0"/>
          <w:u w:val="single"/>
        </w:rPr>
        <w:t>柒</w:t>
      </w:r>
      <w:r>
        <w:rPr>
          <w:rFonts w:hint="eastAsia" w:ascii="宋体" w:hAnsi="宋体"/>
          <w:snapToGrid w:val="0"/>
        </w:rPr>
        <w:t>份，甲方执</w:t>
      </w:r>
      <w:r>
        <w:rPr>
          <w:rFonts w:hint="eastAsia" w:ascii="宋体" w:hAnsi="宋体"/>
          <w:snapToGrid w:val="0"/>
          <w:u w:val="single"/>
        </w:rPr>
        <w:t>肆</w:t>
      </w:r>
      <w:r>
        <w:rPr>
          <w:rFonts w:hint="eastAsia" w:ascii="宋体" w:hAnsi="宋体"/>
          <w:snapToGrid w:val="0"/>
        </w:rPr>
        <w:t>份，乙方执</w:t>
      </w:r>
      <w:r>
        <w:rPr>
          <w:rFonts w:hint="eastAsia" w:ascii="宋体" w:hAnsi="宋体"/>
          <w:snapToGrid w:val="0"/>
          <w:u w:val="single"/>
        </w:rPr>
        <w:t xml:space="preserve">叁 </w:t>
      </w:r>
      <w:r>
        <w:rPr>
          <w:rFonts w:hint="eastAsia" w:ascii="宋体" w:hAnsi="宋体"/>
          <w:snapToGrid w:val="0"/>
        </w:rPr>
        <w:t>份</w:t>
      </w:r>
    </w:p>
    <w:p>
      <w:pPr>
        <w:spacing w:line="440" w:lineRule="exact"/>
        <w:ind w:firstLine="420" w:firstLineChars="200"/>
        <w:rPr>
          <w:rFonts w:ascii="宋体" w:hAnsi="宋体"/>
          <w:snapToGrid w:val="0"/>
        </w:rPr>
      </w:pPr>
      <w:r>
        <w:rPr>
          <w:rFonts w:ascii="宋体" w:hAnsi="宋体"/>
          <w:snapToGrid w:val="0"/>
        </w:rPr>
        <w:t>3</w:t>
      </w:r>
      <w:r>
        <w:rPr>
          <w:rFonts w:hint="eastAsia" w:ascii="宋体" w:hAnsi="宋体"/>
          <w:snapToGrid w:val="0"/>
        </w:rPr>
        <w:t>．与本合同有关的招标文件、投标文件、询价纪要、澄清回复、补充协议等与本合同具有同等法律效力。</w:t>
      </w:r>
      <w:bookmarkStart w:id="140" w:name="OLE_LINK2"/>
      <w:bookmarkStart w:id="141" w:name="OLE_LINK1"/>
      <w:r>
        <w:rPr>
          <w:rFonts w:hint="eastAsia" w:ascii="宋体" w:hAnsi="宋体"/>
          <w:snapToGrid w:val="0"/>
        </w:rPr>
        <w:t>除法定条件及程序外，合同、补充协议不得对有关的招标文件、投标文件等作实质性修改；产生歧义或履行中有冲突的以招、投标文件为准。</w:t>
      </w:r>
    </w:p>
    <w:bookmarkEnd w:id="140"/>
    <w:bookmarkEnd w:id="141"/>
    <w:p>
      <w:pPr>
        <w:adjustRightInd w:val="0"/>
        <w:snapToGrid w:val="0"/>
        <w:spacing w:line="360" w:lineRule="auto"/>
        <w:ind w:left="987" w:leftChars="270" w:hanging="420" w:hangingChars="200"/>
        <w:rPr>
          <w:rFonts w:ascii="宋体" w:hAnsi="宋体"/>
          <w:snapToGrid w:val="0"/>
          <w:szCs w:val="21"/>
        </w:rPr>
      </w:pPr>
    </w:p>
    <w:p>
      <w:pPr>
        <w:adjustRightInd w:val="0"/>
        <w:snapToGrid w:val="0"/>
        <w:spacing w:line="360" w:lineRule="auto"/>
        <w:ind w:left="987" w:leftChars="270" w:hanging="420" w:hangingChars="200"/>
        <w:rPr>
          <w:rFonts w:ascii="宋体" w:hAnsi="宋体"/>
          <w:b/>
          <w:snapToGrid w:val="0"/>
          <w:szCs w:val="21"/>
        </w:rPr>
      </w:pPr>
      <w:r>
        <w:rPr>
          <w:rFonts w:ascii="宋体" w:hAnsi="宋体"/>
          <w:snapToGrid w:val="0"/>
          <w:szCs w:val="21"/>
        </w:rPr>
        <w:t>甲方（公章）：</w:t>
      </w:r>
      <w:r>
        <w:rPr>
          <w:rFonts w:ascii="宋体" w:hAnsi="宋体"/>
          <w:b/>
          <w:snapToGrid w:val="0"/>
          <w:szCs w:val="21"/>
        </w:rPr>
        <w:t>杭州市水文水资源监测总站</w:t>
      </w:r>
    </w:p>
    <w:p>
      <w:pPr>
        <w:adjustRightInd w:val="0"/>
        <w:snapToGrid w:val="0"/>
        <w:spacing w:line="360" w:lineRule="auto"/>
        <w:ind w:left="987" w:leftChars="270" w:hanging="420" w:hangingChars="200"/>
        <w:rPr>
          <w:rFonts w:ascii="宋体" w:hAnsi="宋体"/>
          <w:snapToGrid w:val="0"/>
          <w:szCs w:val="21"/>
        </w:rPr>
      </w:pPr>
      <w:r>
        <w:rPr>
          <w:rFonts w:ascii="宋体" w:hAnsi="宋体"/>
          <w:snapToGrid w:val="0"/>
          <w:szCs w:val="21"/>
        </w:rPr>
        <w:t>法定代表人或授权委托人：</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地址：</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电话：</w:t>
      </w:r>
    </w:p>
    <w:p>
      <w:pPr>
        <w:adjustRightInd w:val="0"/>
        <w:snapToGrid w:val="0"/>
        <w:spacing w:line="360" w:lineRule="auto"/>
        <w:ind w:left="987" w:leftChars="270" w:hanging="420" w:hangingChars="200"/>
        <w:rPr>
          <w:rFonts w:ascii="宋体" w:hAnsi="宋体"/>
          <w:snapToGrid w:val="0"/>
          <w:szCs w:val="21"/>
        </w:rPr>
      </w:pP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乙方（公章）：</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法定代表人或授权委托人：地址：</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邮编：</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联系人：</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电话：</w:t>
      </w:r>
      <w:r>
        <w:rPr>
          <w:rFonts w:hint="eastAsia" w:ascii="宋体" w:hAnsi="宋体"/>
          <w:snapToGrid w:val="0"/>
          <w:szCs w:val="21"/>
        </w:rPr>
        <w:tab/>
      </w:r>
      <w:r>
        <w:rPr>
          <w:rFonts w:hint="eastAsia" w:ascii="宋体" w:hAnsi="宋体"/>
          <w:snapToGrid w:val="0"/>
          <w:szCs w:val="21"/>
        </w:rPr>
        <w:tab/>
      </w:r>
      <w:r>
        <w:rPr>
          <w:rFonts w:hint="eastAsia" w:ascii="宋体" w:hAnsi="宋体"/>
          <w:snapToGrid w:val="0"/>
          <w:szCs w:val="21"/>
        </w:rPr>
        <w:tab/>
      </w:r>
      <w:r>
        <w:rPr>
          <w:rFonts w:hint="eastAsia" w:ascii="宋体" w:hAnsi="宋体"/>
          <w:snapToGrid w:val="0"/>
          <w:szCs w:val="21"/>
        </w:rPr>
        <w:tab/>
      </w:r>
      <w:r>
        <w:rPr>
          <w:rFonts w:hint="eastAsia" w:ascii="宋体" w:hAnsi="宋体"/>
          <w:snapToGrid w:val="0"/>
          <w:szCs w:val="21"/>
        </w:rPr>
        <w:tab/>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开户银行：</w:t>
      </w:r>
    </w:p>
    <w:p>
      <w:pPr>
        <w:adjustRightInd w:val="0"/>
        <w:snapToGrid w:val="0"/>
        <w:spacing w:line="360" w:lineRule="auto"/>
        <w:ind w:left="987" w:leftChars="270" w:hanging="420" w:hangingChars="200"/>
        <w:rPr>
          <w:rFonts w:ascii="宋体" w:hAnsi="宋体"/>
          <w:snapToGrid w:val="0"/>
          <w:szCs w:val="21"/>
        </w:rPr>
      </w:pPr>
      <w:r>
        <w:rPr>
          <w:rFonts w:hint="eastAsia" w:ascii="宋体" w:hAnsi="宋体"/>
          <w:snapToGrid w:val="0"/>
          <w:szCs w:val="21"/>
        </w:rPr>
        <w:t>账号：</w:t>
      </w:r>
    </w:p>
    <w:p>
      <w:pPr>
        <w:spacing w:line="360" w:lineRule="auto"/>
        <w:ind w:right="420"/>
        <w:jc w:val="right"/>
        <w:rPr>
          <w:rFonts w:ascii="宋体" w:hAnsi="宋体"/>
          <w:snapToGrid w:val="0"/>
          <w:szCs w:val="21"/>
        </w:rPr>
      </w:pPr>
    </w:p>
    <w:p>
      <w:pPr>
        <w:spacing w:line="360" w:lineRule="auto"/>
        <w:ind w:right="420"/>
        <w:jc w:val="right"/>
        <w:rPr>
          <w:rFonts w:ascii="宋体" w:hAnsi="宋体"/>
          <w:snapToGrid w:val="0"/>
          <w:szCs w:val="21"/>
        </w:rPr>
      </w:pPr>
    </w:p>
    <w:p>
      <w:pPr>
        <w:spacing w:line="360" w:lineRule="auto"/>
        <w:ind w:right="420"/>
        <w:jc w:val="right"/>
        <w:rPr>
          <w:rFonts w:ascii="宋体" w:hAnsi="宋体"/>
          <w:b/>
          <w:snapToGrid w:val="0"/>
          <w:szCs w:val="21"/>
        </w:rPr>
      </w:pPr>
      <w:r>
        <w:rPr>
          <w:rFonts w:hint="eastAsia" w:ascii="宋体" w:hAnsi="宋体"/>
          <w:b/>
          <w:snapToGrid w:val="0"/>
          <w:szCs w:val="21"/>
        </w:rPr>
        <w:t>合同签发日期：年月日</w:t>
      </w:r>
    </w:p>
    <w:p>
      <w:pPr>
        <w:spacing w:line="360" w:lineRule="exact"/>
        <w:ind w:firstLine="420" w:firstLineChars="200"/>
        <w:rPr>
          <w:rFonts w:asciiTheme="minorEastAsia" w:hAnsiTheme="minorEastAsia" w:eastAsiaTheme="minorEastAsia"/>
          <w:snapToGrid w:val="0"/>
        </w:rPr>
      </w:pPr>
    </w:p>
    <w:p>
      <w:pPr>
        <w:spacing w:line="440" w:lineRule="exact"/>
        <w:rPr>
          <w:rFonts w:asciiTheme="minorEastAsia" w:hAnsiTheme="minorEastAsia" w:eastAsiaTheme="minorEastAsia"/>
          <w:b/>
          <w:snapToGrid w:val="0"/>
          <w:sz w:val="30"/>
          <w:szCs w:val="30"/>
        </w:rPr>
      </w:pPr>
    </w:p>
    <w:p>
      <w:pPr>
        <w:ind w:left="67" w:leftChars="32" w:firstLine="210" w:firstLineChars="100"/>
        <w:rPr>
          <w:rFonts w:asciiTheme="minorEastAsia" w:hAnsiTheme="minorEastAsia" w:eastAsiaTheme="minorEastAsia"/>
          <w:szCs w:val="21"/>
        </w:rPr>
      </w:pPr>
    </w:p>
    <w:p>
      <w:pPr>
        <w:ind w:left="67" w:leftChars="32" w:firstLine="210" w:firstLineChars="100"/>
        <w:rPr>
          <w:rFonts w:asciiTheme="minorEastAsia" w:hAnsiTheme="minorEastAsia" w:eastAsiaTheme="minorEastAsia"/>
          <w:szCs w:val="21"/>
        </w:rPr>
      </w:pPr>
    </w:p>
    <w:p>
      <w:pPr>
        <w:adjustRightInd w:val="0"/>
        <w:snapToGrid w:val="0"/>
        <w:spacing w:line="360" w:lineRule="auto"/>
        <w:jc w:val="center"/>
        <w:outlineLvl w:val="0"/>
        <w:rPr>
          <w:rFonts w:asciiTheme="minorEastAsia" w:hAnsiTheme="minorEastAsia" w:eastAsiaTheme="minorEastAsia"/>
          <w:b/>
          <w:snapToGrid w:val="0"/>
          <w:kern w:val="0"/>
          <w:sz w:val="30"/>
          <w:szCs w:val="30"/>
        </w:rPr>
        <w:sectPr>
          <w:footerReference r:id="rId8" w:type="default"/>
          <w:pgSz w:w="11906" w:h="16838"/>
          <w:pgMar w:top="1304" w:right="1588" w:bottom="1304" w:left="1588" w:header="851" w:footer="680" w:gutter="0"/>
          <w:cols w:space="720" w:num="1"/>
          <w:docGrid w:linePitch="312" w:charSpace="0"/>
        </w:sectPr>
      </w:pPr>
    </w:p>
    <w:p>
      <w:pPr>
        <w:adjustRightInd w:val="0"/>
        <w:snapToGrid w:val="0"/>
        <w:spacing w:line="360" w:lineRule="auto"/>
        <w:jc w:val="center"/>
        <w:outlineLvl w:val="0"/>
        <w:rPr>
          <w:rFonts w:asciiTheme="minorEastAsia" w:hAnsiTheme="minorEastAsia" w:eastAsiaTheme="minorEastAsia"/>
          <w:bCs/>
          <w:snapToGrid w:val="0"/>
          <w:kern w:val="0"/>
          <w:szCs w:val="32"/>
        </w:rPr>
      </w:pPr>
      <w:bookmarkStart w:id="142" w:name="_Toc23154233"/>
      <w:r>
        <w:rPr>
          <w:rFonts w:hint="eastAsia" w:asciiTheme="minorEastAsia" w:hAnsiTheme="minorEastAsia" w:eastAsiaTheme="minorEastAsia"/>
          <w:b/>
          <w:snapToGrid w:val="0"/>
          <w:kern w:val="0"/>
          <w:sz w:val="30"/>
          <w:szCs w:val="30"/>
        </w:rPr>
        <w:t>第五部分评标办法</w:t>
      </w:r>
      <w:r>
        <w:rPr>
          <w:rFonts w:hint="eastAsia" w:asciiTheme="minorEastAsia" w:hAnsiTheme="minorEastAsia" w:eastAsiaTheme="minorEastAsia"/>
          <w:snapToGrid w:val="0"/>
          <w:kern w:val="0"/>
          <w:sz w:val="30"/>
          <w:szCs w:val="30"/>
        </w:rPr>
        <w:t>（综合评分法）</w:t>
      </w:r>
      <w:bookmarkEnd w:id="54"/>
      <w:bookmarkEnd w:id="142"/>
    </w:p>
    <w:p>
      <w:pPr>
        <w:tabs>
          <w:tab w:val="left" w:pos="735"/>
        </w:tabs>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根据《中华人民共和国政府采购法》、财政部第87号令等有关规定，结合本项目的实际情况，按照公平、公正、科学、择优的原则，制定本评标办法。</w:t>
      </w:r>
    </w:p>
    <w:p>
      <w:pPr>
        <w:pStyle w:val="4"/>
        <w:snapToGrid w:val="0"/>
        <w:spacing w:before="0" w:after="0" w:line="360" w:lineRule="auto"/>
        <w:rPr>
          <w:rFonts w:asciiTheme="minorEastAsia" w:hAnsiTheme="minorEastAsia" w:eastAsiaTheme="minorEastAsia"/>
          <w:snapToGrid w:val="0"/>
          <w:kern w:val="0"/>
          <w:sz w:val="21"/>
          <w:szCs w:val="21"/>
        </w:rPr>
      </w:pPr>
      <w:bookmarkStart w:id="143" w:name="_Toc251566662"/>
      <w:bookmarkStart w:id="144" w:name="_Toc249760791"/>
      <w:bookmarkStart w:id="145" w:name="_Toc295465366"/>
      <w:bookmarkStart w:id="146" w:name="_Toc23154234"/>
      <w:r>
        <w:rPr>
          <w:rFonts w:hint="eastAsia" w:asciiTheme="minorEastAsia" w:hAnsiTheme="minorEastAsia" w:eastAsiaTheme="minorEastAsia"/>
          <w:snapToGrid w:val="0"/>
          <w:kern w:val="0"/>
          <w:sz w:val="21"/>
          <w:szCs w:val="21"/>
        </w:rPr>
        <w:t>一、总则</w:t>
      </w:r>
      <w:bookmarkEnd w:id="143"/>
      <w:bookmarkEnd w:id="144"/>
      <w:bookmarkEnd w:id="145"/>
      <w:bookmarkEnd w:id="146"/>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cs="Courier New" w:asciiTheme="minorEastAsia" w:hAnsiTheme="minorEastAsia" w:eastAsiaTheme="minor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4"/>
        <w:snapToGrid w:val="0"/>
        <w:spacing w:before="0" w:after="0" w:line="360" w:lineRule="auto"/>
        <w:rPr>
          <w:rFonts w:asciiTheme="minorEastAsia" w:hAnsiTheme="minorEastAsia" w:eastAsiaTheme="minorEastAsia"/>
          <w:snapToGrid w:val="0"/>
          <w:kern w:val="0"/>
          <w:sz w:val="21"/>
          <w:szCs w:val="21"/>
        </w:rPr>
      </w:pPr>
      <w:bookmarkStart w:id="147" w:name="_Toc251566663"/>
      <w:bookmarkStart w:id="148" w:name="_Toc23154235"/>
      <w:bookmarkStart w:id="149" w:name="_Toc249760792"/>
      <w:bookmarkStart w:id="150" w:name="_Toc295465367"/>
      <w:r>
        <w:rPr>
          <w:rFonts w:hint="eastAsia" w:asciiTheme="minorEastAsia" w:hAnsiTheme="minorEastAsia" w:eastAsiaTheme="minorEastAsia"/>
          <w:snapToGrid w:val="0"/>
          <w:kern w:val="0"/>
          <w:sz w:val="21"/>
          <w:szCs w:val="21"/>
        </w:rPr>
        <w:t>二、评标组织</w:t>
      </w:r>
      <w:bookmarkEnd w:id="147"/>
      <w:bookmarkEnd w:id="148"/>
      <w:bookmarkEnd w:id="149"/>
      <w:bookmarkEnd w:id="150"/>
    </w:p>
    <w:p>
      <w:pPr>
        <w:adjustRightInd w:val="0"/>
        <w:snapToGrid w:val="0"/>
        <w:spacing w:line="360" w:lineRule="auto"/>
        <w:ind w:firstLine="420" w:firstLineChars="200"/>
        <w:jc w:val="left"/>
        <w:rPr>
          <w:rFonts w:asciiTheme="minorEastAsia" w:hAnsiTheme="minorEastAsia" w:eastAsiaTheme="minorEastAsia"/>
          <w:snapToGrid w:val="0"/>
          <w:kern w:val="0"/>
          <w:szCs w:val="21"/>
        </w:rPr>
      </w:pPr>
      <w:bookmarkStart w:id="151" w:name="_Toc251566664"/>
      <w:bookmarkStart w:id="152" w:name="_Toc249760793"/>
      <w:r>
        <w:rPr>
          <w:rFonts w:hint="eastAsia" w:asciiTheme="minorEastAsia" w:hAnsiTheme="minorEastAsia" w:eastAsiaTheme="minorEastAsia"/>
          <w:snapToGrid w:val="0"/>
          <w:kern w:val="0"/>
          <w:szCs w:val="21"/>
        </w:rPr>
        <w:t>评标工作由采购代理机构负责组织，依法组建由5人及以上奇数人员组成的评标委员会，负责对投标文件进行审查、质询、评审等。评标委员会由政府采购相关专家等组成，其中政府采购专家不得少于成员总数的三分之二。</w:t>
      </w:r>
    </w:p>
    <w:p>
      <w:pPr>
        <w:pStyle w:val="4"/>
        <w:snapToGrid w:val="0"/>
        <w:spacing w:before="0" w:after="0" w:line="360" w:lineRule="auto"/>
        <w:rPr>
          <w:rFonts w:asciiTheme="minorEastAsia" w:hAnsiTheme="minorEastAsia" w:eastAsiaTheme="minorEastAsia"/>
          <w:snapToGrid w:val="0"/>
          <w:kern w:val="0"/>
          <w:sz w:val="21"/>
          <w:szCs w:val="21"/>
        </w:rPr>
      </w:pPr>
      <w:bookmarkStart w:id="153" w:name="_Toc23154236"/>
      <w:bookmarkStart w:id="154" w:name="_Toc295465368"/>
      <w:r>
        <w:rPr>
          <w:rFonts w:hint="eastAsia" w:asciiTheme="minorEastAsia" w:hAnsiTheme="minorEastAsia" w:eastAsiaTheme="minorEastAsia"/>
          <w:snapToGrid w:val="0"/>
          <w:kern w:val="0"/>
          <w:sz w:val="21"/>
          <w:szCs w:val="21"/>
        </w:rPr>
        <w:t>三、评标纪律</w:t>
      </w:r>
      <w:bookmarkEnd w:id="151"/>
      <w:bookmarkEnd w:id="152"/>
      <w:bookmarkEnd w:id="153"/>
      <w:bookmarkEnd w:id="154"/>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1．评标是招标工作的重要环节，评标工作在评标委员会内独立进行。评标委员会将按照评标原则的要求，公正、平等地对待所有投标人。</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2．所有评标人员应忠于职守、廉洁自律、秉公办事、不徇私情。</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3．评标人员不得接受或参加投标人或与投标有关的单位、组织或个人的有碍公务的宴请、娱乐活动等，不得以任何形式弄虚作假。</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4．评标期间，评标人员不得随意出入评标地点、与外界通讯、会客等。</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5．在投标文件的审查、澄清、评价和比较以及授予合同的过程中，投标人对采购人、采购机构人员及评标委员会成员施加影响的任何行为，都将导致被取消投标资格。</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6．为保证评标的公正性，在评标过程中，评标委员会成员不得与投标人或与中标结果有利害关系的人进行私下接触。在评标工作结束后，凡与评标情况有接触的任何人，不得将评标情况扩散出评标委员会以外。</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7．评标过程中，当发表结论性意见时，先听取专家评委意见，用户评委随后发表意见；评标专家对投标人的优劣情况，以及认为差异较大的情况等，应以书面意见作出真实、专业、诚恳负责的表述，不得违背客观、公正的原则。</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8．评标结束后，各评标人员应将全部资料整理上交采购人，严禁将评标过程中的任何资料带出评标现场向投标人或其他单位提供。</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9．在中标结果公布前应对评标委员会成员名单予以保密。</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10．评标委员会对各投标人的商业秘密予以保密。</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11．评标委员会成员应当客观、公正地履行职责，遵守职业道德，对所提出的评审意见承担个人责任。</w:t>
      </w:r>
    </w:p>
    <w:p>
      <w:pPr>
        <w:adjustRightInd w:val="0"/>
        <w:snapToGrid w:val="0"/>
        <w:spacing w:line="360" w:lineRule="auto"/>
        <w:ind w:firstLine="420" w:firstLineChars="200"/>
        <w:rPr>
          <w:rFonts w:cs="Courier New" w:asciiTheme="minorEastAsia" w:hAnsiTheme="minorEastAsia" w:eastAsiaTheme="minorEastAsia"/>
          <w:snapToGrid w:val="0"/>
          <w:kern w:val="0"/>
          <w:szCs w:val="21"/>
        </w:rPr>
      </w:pPr>
      <w:r>
        <w:rPr>
          <w:rFonts w:hint="eastAsia" w:cs="Courier New" w:asciiTheme="minorEastAsia" w:hAnsiTheme="minorEastAsia" w:eastAsiaTheme="minorEastAsia"/>
          <w:snapToGrid w:val="0"/>
          <w:kern w:val="0"/>
          <w:szCs w:val="21"/>
        </w:rPr>
        <w:t>12．在整个评标过程中，投标人企图影响招标结果的任何活动，可能导致其投标失败。如有违法行为，将依法追究其法律责任。</w:t>
      </w:r>
    </w:p>
    <w:p>
      <w:pPr>
        <w:pStyle w:val="4"/>
        <w:snapToGrid w:val="0"/>
        <w:spacing w:before="0" w:after="0" w:line="360" w:lineRule="auto"/>
        <w:rPr>
          <w:rFonts w:cs="Courier New" w:asciiTheme="minorEastAsia" w:hAnsiTheme="minorEastAsia" w:eastAsiaTheme="minorEastAsia"/>
          <w:snapToGrid w:val="0"/>
          <w:kern w:val="0"/>
          <w:szCs w:val="21"/>
        </w:rPr>
      </w:pPr>
      <w:bookmarkStart w:id="155" w:name="_Toc23154237"/>
      <w:r>
        <w:rPr>
          <w:rFonts w:hint="eastAsia" w:asciiTheme="minorEastAsia" w:hAnsiTheme="minorEastAsia" w:eastAsiaTheme="minorEastAsia"/>
          <w:snapToGrid w:val="0"/>
          <w:kern w:val="0"/>
          <w:sz w:val="21"/>
          <w:szCs w:val="21"/>
        </w:rPr>
        <w:t>四、评标细则及标准</w:t>
      </w:r>
      <w:bookmarkEnd w:id="155"/>
    </w:p>
    <w:p>
      <w:pPr>
        <w:pStyle w:val="117"/>
        <w:adjustRightInd w:val="0"/>
        <w:spacing w:afterLines="0" w:line="400" w:lineRule="exact"/>
        <w:ind w:right="-252" w:firstLine="422"/>
        <w:rPr>
          <w:rFonts w:asciiTheme="minorEastAsia" w:hAnsiTheme="minorEastAsia" w:eastAsiaTheme="minorEastAsia"/>
          <w:kern w:val="2"/>
          <w:sz w:val="21"/>
          <w:szCs w:val="21"/>
        </w:rPr>
      </w:pPr>
      <w:r>
        <w:rPr>
          <w:rFonts w:hint="eastAsia" w:asciiTheme="minorEastAsia" w:hAnsiTheme="minorEastAsia" w:eastAsiaTheme="minorEastAsia"/>
          <w:b/>
          <w:sz w:val="21"/>
          <w:szCs w:val="21"/>
        </w:rPr>
        <w:t>本项目采用综合评分法</w:t>
      </w:r>
      <w:r>
        <w:rPr>
          <w:rFonts w:hint="eastAsia" w:asciiTheme="minorEastAsia" w:hAnsiTheme="minorEastAsia" w:eastAsiaTheme="minorEastAsia"/>
          <w:kern w:val="2"/>
          <w:sz w:val="21"/>
          <w:szCs w:val="21"/>
        </w:rPr>
        <w:t>，评标委员会将对各投标人的投标报价、技术和服务方案、投标人的资质和业绩情况等方面进行综合评审，对实质上响应招标文件的投标人，由各评委独立记名打分。经统计，得出各投标人的最终评审分,按最终评审分由高到低顺序排列。得分相同的，按投标报价由低到高顺序排列。得分且投标报价相同的，按技术指标优劣顺序排列，并形成评标意见。</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各投标人的综合得分为：投标价格得分+技术和服务方案得分+投标人的资质和业绩得分之和，总分为</w:t>
      </w:r>
      <w:r>
        <w:rPr>
          <w:rFonts w:hint="eastAsia" w:asciiTheme="minorEastAsia" w:hAnsiTheme="minorEastAsia" w:eastAsiaTheme="minorEastAsia"/>
          <w:szCs w:val="21"/>
          <w:u w:val="single"/>
        </w:rPr>
        <w:t>100</w:t>
      </w:r>
      <w:r>
        <w:rPr>
          <w:rFonts w:hint="eastAsia" w:asciiTheme="minorEastAsia" w:hAnsiTheme="minorEastAsia" w:eastAsiaTheme="minorEastAsia"/>
          <w:szCs w:val="21"/>
        </w:rPr>
        <w:t>分，其中：投标价格</w:t>
      </w:r>
      <w:r>
        <w:rPr>
          <w:rFonts w:asciiTheme="minorEastAsia" w:hAnsiTheme="minorEastAsia" w:eastAsiaTheme="minorEastAsia"/>
          <w:szCs w:val="21"/>
          <w:u w:val="single"/>
        </w:rPr>
        <w:t>20</w:t>
      </w:r>
      <w:r>
        <w:rPr>
          <w:rFonts w:hint="eastAsia" w:asciiTheme="minorEastAsia" w:hAnsiTheme="minorEastAsia" w:eastAsiaTheme="minorEastAsia"/>
          <w:szCs w:val="21"/>
        </w:rPr>
        <w:t>分，技</w:t>
      </w:r>
      <w:r>
        <w:rPr>
          <w:rFonts w:hint="eastAsia" w:ascii="宋体" w:hAnsi="宋体" w:cs="仿宋_GB2312"/>
          <w:bCs/>
          <w:szCs w:val="21"/>
        </w:rPr>
        <w:t>术和服务方案</w:t>
      </w:r>
      <w:r>
        <w:rPr>
          <w:rFonts w:ascii="宋体" w:hAnsi="宋体" w:cs="仿宋_GB2312"/>
          <w:bCs/>
          <w:szCs w:val="21"/>
          <w:u w:val="single"/>
        </w:rPr>
        <w:t>68</w:t>
      </w:r>
      <w:r>
        <w:rPr>
          <w:rFonts w:hint="eastAsia" w:ascii="宋体" w:hAnsi="宋体" w:cs="仿宋_GB2312"/>
          <w:bCs/>
          <w:szCs w:val="21"/>
        </w:rPr>
        <w:t>分</w:t>
      </w:r>
      <w:r>
        <w:rPr>
          <w:rFonts w:hint="eastAsia" w:asciiTheme="minorEastAsia" w:hAnsiTheme="minorEastAsia" w:eastAsiaTheme="minorEastAsia"/>
          <w:szCs w:val="21"/>
        </w:rPr>
        <w:t>，</w:t>
      </w:r>
      <w:r>
        <w:rPr>
          <w:rFonts w:hint="eastAsia" w:ascii="宋体" w:hAnsi="宋体"/>
          <w:szCs w:val="21"/>
        </w:rPr>
        <w:t>投标人的资质和业绩情况</w:t>
      </w:r>
      <w:r>
        <w:rPr>
          <w:rFonts w:hint="eastAsia" w:asciiTheme="minorEastAsia" w:hAnsiTheme="minorEastAsia" w:eastAsiaTheme="minorEastAsia"/>
          <w:szCs w:val="21"/>
          <w:u w:val="single"/>
        </w:rPr>
        <w:t>1</w:t>
      </w:r>
      <w:r>
        <w:rPr>
          <w:rFonts w:asciiTheme="minorEastAsia" w:hAnsiTheme="minorEastAsia" w:eastAsiaTheme="minorEastAsia"/>
          <w:szCs w:val="21"/>
          <w:u w:val="single"/>
        </w:rPr>
        <w:t>2</w:t>
      </w:r>
      <w:r>
        <w:rPr>
          <w:rFonts w:hint="eastAsia" w:asciiTheme="minorEastAsia" w:hAnsiTheme="minorEastAsia" w:eastAsiaTheme="minorEastAsia"/>
          <w:szCs w:val="21"/>
        </w:rPr>
        <w:t>分。</w:t>
      </w:r>
    </w:p>
    <w:p>
      <w:pPr>
        <w:autoSpaceDE w:val="0"/>
        <w:autoSpaceDN w:val="0"/>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各投标人的技术和服务方案、投标人的资质和业绩情况（评标委员会独立打分）得分为：各成员评分的算术平均值。各投标人的投标价格得分按投标价格评分</w:t>
      </w:r>
      <w:r>
        <w:rPr>
          <w:rFonts w:hint="eastAsia" w:cs="宋体" w:asciiTheme="minorEastAsia" w:hAnsiTheme="minorEastAsia" w:eastAsiaTheme="minorEastAsia"/>
          <w:kern w:val="0"/>
          <w:szCs w:val="21"/>
        </w:rPr>
        <w:t>公式由招标代理机构计算，</w:t>
      </w:r>
      <w:r>
        <w:rPr>
          <w:rFonts w:hint="eastAsia" w:asciiTheme="minorEastAsia" w:hAnsiTheme="minorEastAsia" w:eastAsiaTheme="minorEastAsia"/>
          <w:szCs w:val="21"/>
        </w:rPr>
        <w:t>评标委员会审核。</w:t>
      </w:r>
    </w:p>
    <w:p>
      <w:pPr>
        <w:autoSpaceDE w:val="0"/>
        <w:autoSpaceDN w:val="0"/>
        <w:adjustRightInd w:val="0"/>
        <w:snapToGrid w:val="0"/>
        <w:spacing w:line="360" w:lineRule="auto"/>
        <w:ind w:firstLine="420" w:firstLineChars="200"/>
        <w:rPr>
          <w:rFonts w:asciiTheme="minorEastAsia" w:hAnsiTheme="minorEastAsia" w:eastAsiaTheme="minorEastAsia"/>
          <w:b/>
          <w:szCs w:val="21"/>
        </w:rPr>
      </w:pPr>
      <w:r>
        <w:rPr>
          <w:rFonts w:hint="eastAsia" w:asciiTheme="minorEastAsia" w:hAnsiTheme="minorEastAsia" w:eastAsiaTheme="minorEastAsia"/>
          <w:szCs w:val="21"/>
        </w:rPr>
        <w:t>根据上述评标原则，分值安排如下：</w:t>
      </w:r>
    </w:p>
    <w:p>
      <w:pPr>
        <w:pStyle w:val="25"/>
        <w:adjustRightInd w:val="0"/>
        <w:snapToGrid w:val="0"/>
        <w:spacing w:line="360" w:lineRule="auto"/>
        <w:ind w:firstLine="422" w:firstLineChars="200"/>
        <w:rPr>
          <w:rFonts w:asciiTheme="minorEastAsia" w:hAnsiTheme="minorEastAsia" w:eastAsiaTheme="minorEastAsia"/>
          <w:b/>
          <w:kern w:val="28"/>
        </w:rPr>
      </w:pPr>
      <w:r>
        <w:rPr>
          <w:rFonts w:hint="eastAsia" w:asciiTheme="minorEastAsia" w:hAnsiTheme="minorEastAsia" w:eastAsiaTheme="minorEastAsia"/>
          <w:b/>
          <w:bCs/>
        </w:rPr>
        <w:t>一、</w:t>
      </w:r>
      <w:r>
        <w:rPr>
          <w:rFonts w:hint="eastAsia" w:asciiTheme="minorEastAsia" w:hAnsiTheme="minorEastAsia" w:eastAsiaTheme="minorEastAsia"/>
          <w:b/>
        </w:rPr>
        <w:t>投标价格（A=20分）：</w:t>
      </w:r>
    </w:p>
    <w:p>
      <w:pPr>
        <w:autoSpaceDE w:val="0"/>
        <w:autoSpaceDN w:val="0"/>
        <w:adjustRightInd w:val="0"/>
        <w:snapToGrid w:val="0"/>
        <w:spacing w:line="360" w:lineRule="auto"/>
        <w:ind w:firstLine="422" w:firstLineChars="200"/>
        <w:rPr>
          <w:rFonts w:asciiTheme="minorEastAsia" w:hAnsiTheme="minorEastAsia" w:eastAsiaTheme="minorEastAsia"/>
          <w:szCs w:val="21"/>
          <w:lang w:val="zh-CN"/>
        </w:rPr>
      </w:pPr>
      <w:r>
        <w:rPr>
          <w:rFonts w:hint="eastAsia" w:asciiTheme="minorEastAsia" w:hAnsiTheme="minorEastAsia" w:eastAsiaTheme="minorEastAsia"/>
          <w:b/>
          <w:szCs w:val="21"/>
        </w:rPr>
        <w:t>（1）</w:t>
      </w:r>
      <w:r>
        <w:rPr>
          <w:rFonts w:hint="eastAsia" w:asciiTheme="minorEastAsia" w:hAnsiTheme="minorEastAsia" w:eastAsiaTheme="minorEastAsia"/>
          <w:b/>
          <w:szCs w:val="21"/>
          <w:lang w:val="zh-CN"/>
        </w:rPr>
        <w:t>报价的合理性：</w:t>
      </w:r>
      <w:r>
        <w:rPr>
          <w:rFonts w:hint="eastAsia" w:asciiTheme="minorEastAsia" w:hAnsiTheme="minorEastAsia" w:eastAsiaTheme="minorEastAsia"/>
          <w:szCs w:val="21"/>
          <w:lang w:val="zh-CN"/>
        </w:rPr>
        <w:t>分析总报价及各个分项报价是否合理，报价范围是否完整，有否重大错漏项</w:t>
      </w:r>
      <w:r>
        <w:rPr>
          <w:rFonts w:hint="eastAsia" w:asciiTheme="minorEastAsia" w:hAnsiTheme="minorEastAsia" w:eastAsiaTheme="minorEastAsia"/>
          <w:szCs w:val="21"/>
        </w:rPr>
        <w:t>，评标委员会认为投标报价出现异常时，有权要求投标人在评标期间对投标报价的详细组成和投标设备的供应渠道等事项作出解释和澄清，并确认其投标报价是否有效</w:t>
      </w:r>
      <w:r>
        <w:rPr>
          <w:rFonts w:hint="eastAsia" w:asciiTheme="minorEastAsia" w:hAnsiTheme="minorEastAsia" w:eastAsiaTheme="minorEastAsia"/>
          <w:szCs w:val="21"/>
          <w:lang w:val="zh-CN"/>
        </w:rPr>
        <w:t>。</w:t>
      </w:r>
    </w:p>
    <w:p>
      <w:pPr>
        <w:adjustRightInd w:val="0"/>
        <w:snapToGrid w:val="0"/>
        <w:spacing w:line="360" w:lineRule="auto"/>
        <w:ind w:firstLine="420" w:firstLineChars="200"/>
        <w:rPr>
          <w:rFonts w:asciiTheme="minorEastAsia" w:hAnsiTheme="minorEastAsia" w:eastAsiaTheme="minorEastAsia"/>
          <w:szCs w:val="21"/>
          <w:lang w:val="zh-CN"/>
        </w:rPr>
      </w:pPr>
      <w:r>
        <w:rPr>
          <w:rFonts w:hint="eastAsia" w:asciiTheme="minorEastAsia" w:hAnsiTheme="minorEastAsia" w:eastAsiaTheme="minorEastAsia"/>
          <w:szCs w:val="21"/>
          <w:lang w:val="zh-CN"/>
        </w:rPr>
        <w:t>报价分计算方法：根据各投标人的有效投标报价，以满足招标文件要求且有效投标价格的最低的投标报价为评标基准价，其价格分为20分。其他投标人的价格分统一按照下列公式计算：投标报价得分＝(评标基准价/有效投标报价)</w:t>
      </w:r>
      <w:r>
        <w:rPr>
          <w:rFonts w:hint="eastAsia" w:asciiTheme="minorEastAsia" w:hAnsiTheme="minorEastAsia" w:eastAsiaTheme="minorEastAsia"/>
          <w:szCs w:val="21"/>
        </w:rPr>
        <w:t>×</w:t>
      </w:r>
      <w:r>
        <w:rPr>
          <w:rFonts w:hint="eastAsia" w:asciiTheme="minorEastAsia" w:hAnsiTheme="minorEastAsia" w:eastAsiaTheme="minorEastAsia"/>
          <w:szCs w:val="21"/>
          <w:lang w:val="zh-CN"/>
        </w:rPr>
        <w:t>价格权值</w:t>
      </w:r>
      <w:r>
        <w:rPr>
          <w:rFonts w:hint="eastAsia" w:asciiTheme="minorEastAsia" w:hAnsiTheme="minorEastAsia" w:eastAsiaTheme="minorEastAsia"/>
          <w:szCs w:val="21"/>
        </w:rPr>
        <w:t>×</w:t>
      </w:r>
      <w:r>
        <w:rPr>
          <w:rFonts w:hint="eastAsia" w:asciiTheme="minorEastAsia" w:hAnsiTheme="minorEastAsia" w:eastAsiaTheme="minorEastAsia"/>
          <w:szCs w:val="21"/>
          <w:lang w:val="zh-CN"/>
        </w:rPr>
        <w:t>100(精确到小数点后二位，由招标代理机构当场统一计算)。</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(2)关于价格分计算的说明：</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①根据《政府采购促进中小企业发展暂行办法》（财库[2011]181号）的规定，投标人为小型或微型企业且所投产品为小型或微型企业生产的，其投标报价扣除6%后参与评审。</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投标文件中须同时提供《投标人企业类型声明函》，由审核单位进行核查。</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②根据《关于政府采购支持监狱企业发展有关问题的通知》（财库[2014]68号）的规定，投标人如为监狱企业且所投产品为小型或微型企业生产的，其投标报价扣除6%后参与评审。</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投标文件中须同时提供：投标人的省级以上监狱管理局、戒毒管理局(含新疆生产建设兵团)出具的属于监狱企业的证明文件，投标产品制造商的小微企业证明由审核单位进行核查</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③残疾人福利性单位视同小型、微型企业，享受预留份额、评审中价格扣除等促进中小企业发展的政府采购政策。符合条件的残疾人福利性单位在参加政府采购活动时，应当提供本通知规定的《残疾人福利性单位声明函》（见附件），并对声明的真实性负责。</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享受政府采购支持政策的残疾人福利性单位应当同时满足以下条件：</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（一）安置的残疾人占本单位在职职工人数的比例不低于25%（含25%），并且安置的残疾人人数不少于10人（含10人）；</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（二）依法与安置的每位残疾人签订了一年以上（含一年）的劳动合同或服务协议；</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（三）为安置的每位残疾人按月足额缴纳了基本养老保险、基本医疗保险、失业保险、工伤保险和生育保险等社会保险费；</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（四）通过银行等金融机构向安置的每位残疾人，按月支付了不低于单位所在区县适用的经省级人民政府批准的月最低工资标准的工资；</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（五）提供本单位制造的货物、承担的工程或者服务（以下简称产品），或者提供其他残疾人福利性单位制造的货物（不包括使用非残疾人福利性单位注册商标的货物）。</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7"/>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（3）投标报价高于本项目预算将作无效标处理。</w:t>
      </w:r>
    </w:p>
    <w:p>
      <w:pPr>
        <w:adjustRightInd w:val="0"/>
        <w:snapToGrid w:val="0"/>
        <w:spacing w:line="400" w:lineRule="exact"/>
        <w:rPr>
          <w:rFonts w:asciiTheme="minorEastAsia" w:hAnsiTheme="minorEastAsia" w:eastAsiaTheme="minorEastAsia"/>
          <w:b/>
          <w:szCs w:val="21"/>
        </w:rPr>
      </w:pPr>
    </w:p>
    <w:p>
      <w:pPr>
        <w:spacing w:line="360" w:lineRule="auto"/>
        <w:rPr>
          <w:rFonts w:ascii="宋体" w:hAnsi="宋体" w:cs="仿宋_GB2312"/>
          <w:b/>
          <w:bCs/>
          <w:szCs w:val="21"/>
        </w:rPr>
      </w:pPr>
      <w:r>
        <w:rPr>
          <w:rFonts w:hint="eastAsia" w:asciiTheme="minorEastAsia" w:hAnsiTheme="minorEastAsia" w:eastAsiaTheme="minorEastAsia"/>
          <w:b/>
          <w:bCs/>
          <w:szCs w:val="21"/>
        </w:rPr>
        <w:t>二、</w:t>
      </w:r>
      <w:bookmarkStart w:id="156" w:name="_Toc251566668"/>
      <w:bookmarkStart w:id="157" w:name="_Toc234764855"/>
      <w:bookmarkStart w:id="158" w:name="_Toc249760797"/>
      <w:bookmarkStart w:id="159" w:name="_Toc420670307"/>
      <w:r>
        <w:rPr>
          <w:rFonts w:hint="eastAsia" w:ascii="宋体" w:hAnsi="宋体" w:cs="仿宋_GB2312"/>
          <w:b/>
          <w:bCs/>
          <w:szCs w:val="21"/>
        </w:rPr>
        <w:t>技术和服务方案（B= 68分）：</w:t>
      </w:r>
    </w:p>
    <w:p>
      <w:pPr>
        <w:spacing w:line="360" w:lineRule="auto"/>
        <w:ind w:firstLine="420" w:firstLineChars="200"/>
        <w:rPr>
          <w:rFonts w:ascii="宋体" w:hAnsi="宋体" w:cs="仿宋_GB2312"/>
          <w:b/>
          <w:szCs w:val="21"/>
        </w:rPr>
      </w:pPr>
      <w:r>
        <w:rPr>
          <w:rFonts w:hint="eastAsia" w:ascii="宋体" w:hAnsi="宋体" w:cs="仿宋_GB2312"/>
          <w:szCs w:val="21"/>
        </w:rPr>
        <w:t>主要包含方案的</w:t>
      </w:r>
      <w:r>
        <w:rPr>
          <w:rFonts w:hint="eastAsia" w:ascii="宋体" w:hAnsi="宋体" w:cs="仿宋_GB2312"/>
          <w:bCs/>
          <w:szCs w:val="21"/>
        </w:rPr>
        <w:t>先进性、科学性和完整性，产品与</w:t>
      </w:r>
      <w:r>
        <w:rPr>
          <w:rFonts w:hint="eastAsia" w:ascii="宋体" w:hAnsi="宋体" w:cs="仿宋_GB2312"/>
          <w:szCs w:val="21"/>
        </w:rPr>
        <w:t>需求的吻合程度</w:t>
      </w:r>
      <w:r>
        <w:rPr>
          <w:rFonts w:hint="eastAsia" w:ascii="宋体" w:hAnsi="宋体" w:cs="仿宋_GB2312"/>
          <w:bCs/>
          <w:szCs w:val="21"/>
        </w:rPr>
        <w:t>，</w:t>
      </w:r>
      <w:r>
        <w:rPr>
          <w:rFonts w:hint="eastAsia" w:ascii="宋体" w:hAnsi="宋体" w:cs="仿宋_GB2312"/>
          <w:szCs w:val="21"/>
        </w:rPr>
        <w:t>提供的售后服务方案、维护人员和机构等情况的服务优劣程度等方面的因素</w:t>
      </w:r>
      <w:r>
        <w:rPr>
          <w:rFonts w:hint="eastAsia" w:ascii="宋体" w:hAnsi="宋体" w:cs="仿宋_GB2312"/>
          <w:kern w:val="0"/>
          <w:szCs w:val="21"/>
        </w:rPr>
        <w:t>，</w:t>
      </w:r>
      <w:r>
        <w:rPr>
          <w:rFonts w:hint="eastAsia" w:ascii="宋体" w:hAnsi="宋体" w:cs="仿宋_GB2312"/>
          <w:szCs w:val="21"/>
        </w:rPr>
        <w:t>以及承诺和优惠。</w:t>
      </w:r>
    </w:p>
    <w:p>
      <w:pPr>
        <w:spacing w:line="360" w:lineRule="auto"/>
        <w:ind w:firstLine="527" w:firstLineChars="250"/>
        <w:rPr>
          <w:rFonts w:ascii="宋体" w:hAnsi="宋体" w:cs="仿宋_GB2312"/>
          <w:b/>
          <w:szCs w:val="21"/>
        </w:rPr>
      </w:pPr>
      <w:r>
        <w:rPr>
          <w:rFonts w:hint="eastAsia" w:ascii="宋体" w:hAnsi="宋体" w:cs="仿宋_GB2312"/>
          <w:b/>
          <w:szCs w:val="21"/>
        </w:rPr>
        <w:t>（1）响应方案的</w:t>
      </w:r>
      <w:r>
        <w:rPr>
          <w:rFonts w:hint="eastAsia" w:ascii="宋体" w:hAnsi="宋体" w:cs="仿宋_GB2312"/>
          <w:b/>
          <w:bCs/>
          <w:szCs w:val="21"/>
        </w:rPr>
        <w:t>科学性和完整性</w:t>
      </w:r>
      <w:r>
        <w:rPr>
          <w:rFonts w:hint="eastAsia" w:ascii="宋体" w:hAnsi="宋体" w:cs="仿宋_GB2312"/>
          <w:b/>
          <w:szCs w:val="21"/>
        </w:rPr>
        <w:t>（7分）：</w:t>
      </w:r>
    </w:p>
    <w:p>
      <w:pPr>
        <w:spacing w:line="360" w:lineRule="auto"/>
        <w:ind w:firstLine="525" w:firstLineChars="250"/>
        <w:rPr>
          <w:rFonts w:ascii="宋体" w:hAnsi="宋体" w:cs="仿宋_GB2312"/>
          <w:szCs w:val="21"/>
        </w:rPr>
      </w:pPr>
      <w:r>
        <w:rPr>
          <w:rFonts w:hint="eastAsia" w:ascii="宋体" w:hAnsi="宋体" w:cs="仿宋_GB2312"/>
          <w:szCs w:val="21"/>
        </w:rPr>
        <w:t>●</w:t>
      </w:r>
      <w:r>
        <w:rPr>
          <w:rFonts w:hint="eastAsia" w:ascii="宋体" w:hAnsi="宋体" w:cs="宋体"/>
          <w:szCs w:val="21"/>
        </w:rPr>
        <w:t>对项目功能需求的理解，提供项目需求分析；</w:t>
      </w:r>
      <w:r>
        <w:rPr>
          <w:rFonts w:hint="eastAsia" w:ascii="宋体" w:hAnsi="宋体" w:cs="仿宋_GB2312"/>
          <w:szCs w:val="21"/>
        </w:rPr>
        <w:t>响应方案与需求的吻合程度，是否科学合理、安全严密、具有一定的前瞻性；（</w:t>
      </w:r>
      <w:r>
        <w:rPr>
          <w:rFonts w:ascii="宋体" w:hAnsi="宋体" w:cs="仿宋_GB2312"/>
          <w:szCs w:val="21"/>
        </w:rPr>
        <w:t>1</w:t>
      </w:r>
      <w:r>
        <w:rPr>
          <w:rFonts w:hint="eastAsia" w:ascii="宋体" w:hAnsi="宋体" w:cs="仿宋_GB2312"/>
          <w:szCs w:val="21"/>
        </w:rPr>
        <w:t>分）</w:t>
      </w:r>
    </w:p>
    <w:p>
      <w:pPr>
        <w:spacing w:line="360" w:lineRule="auto"/>
        <w:ind w:firstLine="525" w:firstLineChars="250"/>
        <w:rPr>
          <w:rFonts w:ascii="宋体" w:hAnsi="宋体" w:cs="仿宋_GB2312"/>
          <w:szCs w:val="21"/>
        </w:rPr>
      </w:pPr>
      <w:r>
        <w:rPr>
          <w:rFonts w:hint="eastAsia" w:ascii="宋体" w:hAnsi="宋体" w:cs="仿宋_GB2312"/>
          <w:szCs w:val="21"/>
        </w:rPr>
        <w:t xml:space="preserve">● </w:t>
      </w:r>
      <w:r>
        <w:rPr>
          <w:rFonts w:hint="eastAsia" w:ascii="宋体" w:hAnsi="宋体" w:cs="宋体"/>
          <w:szCs w:val="21"/>
        </w:rPr>
        <w:t>对水文数据中心系统的理解，是否能对数据中心的相关功能进行详细描述，并指出其中的关键点和日常运行的注意点，以及出现故障的处理流程等，进行横向打分。</w:t>
      </w:r>
      <w:r>
        <w:rPr>
          <w:rFonts w:hint="eastAsia" w:ascii="宋体" w:hAnsi="宋体" w:cs="仿宋_GB2312"/>
          <w:szCs w:val="21"/>
        </w:rPr>
        <w:t>（</w:t>
      </w:r>
      <w:r>
        <w:rPr>
          <w:rFonts w:ascii="宋体" w:hAnsi="宋体" w:cs="仿宋_GB2312"/>
          <w:szCs w:val="21"/>
        </w:rPr>
        <w:t>2</w:t>
      </w:r>
      <w:r>
        <w:rPr>
          <w:rFonts w:hint="eastAsia" w:ascii="宋体" w:hAnsi="宋体" w:cs="仿宋_GB2312"/>
          <w:szCs w:val="21"/>
        </w:rPr>
        <w:t>分）</w:t>
      </w:r>
    </w:p>
    <w:p>
      <w:pPr>
        <w:spacing w:line="360" w:lineRule="auto"/>
        <w:ind w:firstLine="525" w:firstLineChars="250"/>
        <w:rPr>
          <w:rFonts w:ascii="宋体" w:hAnsi="宋体" w:cs="仿宋_GB2312"/>
          <w:szCs w:val="21"/>
        </w:rPr>
      </w:pPr>
      <w:r>
        <w:rPr>
          <w:rFonts w:hint="eastAsia" w:ascii="宋体" w:hAnsi="宋体" w:cs="仿宋_GB2312"/>
          <w:szCs w:val="21"/>
        </w:rPr>
        <w:t xml:space="preserve">● </w:t>
      </w:r>
      <w:r>
        <w:rPr>
          <w:rFonts w:hint="eastAsia" w:ascii="宋体" w:hAnsi="宋体" w:cs="宋体"/>
          <w:szCs w:val="21"/>
        </w:rPr>
        <w:t>对防汛预警系统的理解，是否能对系统的相关功能进行详细描述，并指出系统的关键点和日常运行的注意点等，进行横向打分。</w:t>
      </w:r>
      <w:r>
        <w:rPr>
          <w:rFonts w:hint="eastAsia" w:ascii="宋体" w:hAnsi="宋体" w:cs="仿宋_GB2312"/>
          <w:szCs w:val="21"/>
        </w:rPr>
        <w:t>（</w:t>
      </w:r>
      <w:r>
        <w:rPr>
          <w:rFonts w:ascii="宋体" w:hAnsi="宋体" w:cs="仿宋_GB2312"/>
          <w:szCs w:val="21"/>
        </w:rPr>
        <w:t>2</w:t>
      </w:r>
      <w:r>
        <w:rPr>
          <w:rFonts w:hint="eastAsia" w:ascii="宋体" w:hAnsi="宋体" w:cs="仿宋_GB2312"/>
          <w:szCs w:val="21"/>
        </w:rPr>
        <w:t>分）</w:t>
      </w:r>
    </w:p>
    <w:p>
      <w:pPr>
        <w:spacing w:line="360" w:lineRule="auto"/>
        <w:ind w:firstLine="525" w:firstLineChars="250"/>
        <w:rPr>
          <w:rFonts w:ascii="宋体" w:hAnsi="宋体" w:cs="仿宋_GB2312"/>
          <w:szCs w:val="21"/>
        </w:rPr>
      </w:pPr>
      <w:r>
        <w:rPr>
          <w:rFonts w:hint="eastAsia" w:ascii="宋体" w:hAnsi="宋体" w:cs="仿宋_GB2312"/>
          <w:szCs w:val="21"/>
        </w:rPr>
        <w:t>●对本项目进行现场踏勘和对项目建设需求深入了解，能针对本项目提供合理化建议和措施，经专家认可，得</w:t>
      </w:r>
      <w:r>
        <w:rPr>
          <w:rFonts w:ascii="宋体" w:hAnsi="宋体" w:cs="仿宋_GB2312"/>
          <w:szCs w:val="21"/>
        </w:rPr>
        <w:t>1</w:t>
      </w:r>
      <w:r>
        <w:rPr>
          <w:rFonts w:hint="eastAsia" w:ascii="宋体" w:hAnsi="宋体" w:cs="仿宋_GB2312"/>
          <w:szCs w:val="21"/>
        </w:rPr>
        <w:t>分。提供现场踏勘确认书（并由采购人签字盖章确认），得1分，没进行现场踏勘的，本项得0分。（2分）</w:t>
      </w:r>
    </w:p>
    <w:p>
      <w:pPr>
        <w:tabs>
          <w:tab w:val="left" w:pos="0"/>
        </w:tabs>
        <w:autoSpaceDE w:val="0"/>
        <w:autoSpaceDN w:val="0"/>
        <w:snapToGrid w:val="0"/>
        <w:spacing w:line="360" w:lineRule="auto"/>
        <w:ind w:firstLine="540"/>
        <w:rPr>
          <w:rFonts w:ascii="宋体" w:hAnsi="宋体" w:cs="仿宋_GB2312"/>
          <w:b/>
          <w:szCs w:val="21"/>
        </w:rPr>
      </w:pPr>
      <w:r>
        <w:rPr>
          <w:rFonts w:hint="eastAsia" w:ascii="宋体" w:hAnsi="宋体" w:cs="仿宋_GB2312"/>
          <w:b/>
          <w:szCs w:val="21"/>
        </w:rPr>
        <w:t>（2）系统讲解和系统演示情况（</w:t>
      </w:r>
      <w:r>
        <w:rPr>
          <w:rFonts w:ascii="宋体" w:hAnsi="宋体" w:cs="仿宋_GB2312"/>
          <w:b/>
          <w:szCs w:val="21"/>
        </w:rPr>
        <w:t>24</w:t>
      </w:r>
      <w:r>
        <w:rPr>
          <w:rFonts w:hint="eastAsia" w:ascii="宋体" w:hAnsi="宋体" w:cs="仿宋_GB2312"/>
          <w:b/>
          <w:szCs w:val="21"/>
        </w:rPr>
        <w:t>分）：</w:t>
      </w:r>
    </w:p>
    <w:p>
      <w:pPr>
        <w:tabs>
          <w:tab w:val="left" w:pos="0"/>
        </w:tabs>
        <w:autoSpaceDE w:val="0"/>
        <w:autoSpaceDN w:val="0"/>
        <w:snapToGrid w:val="0"/>
        <w:spacing w:line="360" w:lineRule="auto"/>
        <w:ind w:firstLine="540"/>
        <w:rPr>
          <w:rFonts w:ascii="宋体" w:hAnsi="宋体" w:cs="仿宋_GB2312"/>
          <w:szCs w:val="21"/>
        </w:rPr>
      </w:pPr>
      <w:r>
        <w:rPr>
          <w:rFonts w:hint="eastAsia" w:ascii="宋体" w:hAnsi="宋体" w:cs="仿宋_GB2312"/>
          <w:szCs w:val="21"/>
        </w:rPr>
        <w:t>● 是否有可演示的原型系统，原型系统是否与招标文件用户需求紧密结合。具有水情实时数据历史数据同期分析、降雨空间分布分析展示、水雨情综合展示、水情报表报告生成、水情快报发布、水情汇报自动生成系统原型（横向对比，综合打分，每项最多得</w:t>
      </w:r>
      <w:r>
        <w:rPr>
          <w:rFonts w:ascii="宋体" w:hAnsi="宋体" w:cs="仿宋_GB2312"/>
          <w:szCs w:val="21"/>
        </w:rPr>
        <w:t>3</w:t>
      </w:r>
      <w:r>
        <w:rPr>
          <w:rFonts w:hint="eastAsia" w:ascii="宋体" w:hAnsi="宋体" w:cs="仿宋_GB2312"/>
          <w:szCs w:val="21"/>
        </w:rPr>
        <w:t>分），无原型系统演示或演示不符合业务实际情况此项不得分；（1</w:t>
      </w:r>
      <w:r>
        <w:rPr>
          <w:rFonts w:ascii="宋体" w:hAnsi="宋体" w:cs="仿宋_GB2312"/>
          <w:szCs w:val="21"/>
        </w:rPr>
        <w:t>8</w:t>
      </w:r>
      <w:r>
        <w:rPr>
          <w:rFonts w:hint="eastAsia" w:ascii="宋体" w:hAnsi="宋体" w:cs="仿宋_GB2312"/>
          <w:szCs w:val="21"/>
        </w:rPr>
        <w:t>分）</w:t>
      </w:r>
    </w:p>
    <w:p>
      <w:pPr>
        <w:tabs>
          <w:tab w:val="left" w:pos="0"/>
        </w:tabs>
        <w:autoSpaceDE w:val="0"/>
        <w:autoSpaceDN w:val="0"/>
        <w:snapToGrid w:val="0"/>
        <w:spacing w:line="360" w:lineRule="auto"/>
        <w:ind w:firstLine="540"/>
        <w:rPr>
          <w:rFonts w:ascii="宋体" w:hAnsi="宋体" w:cs="仿宋_GB2312"/>
          <w:szCs w:val="21"/>
        </w:rPr>
      </w:pPr>
      <w:r>
        <w:rPr>
          <w:rFonts w:hint="eastAsia" w:ascii="宋体" w:hAnsi="宋体" w:cs="仿宋_GB2312"/>
          <w:szCs w:val="21"/>
        </w:rPr>
        <w:t>● 包括应用软件系统整体架构，主要组成部分介绍、系统主要功能特性的实现等方面因素，与项目需求的吻合程度；应用关键技术对系统建设的解决能力，实例结果与项目实际需求结果的吻合程度以及偏差情况，该软件效果是否达到采购人的实际需求等；（3分）</w:t>
      </w:r>
    </w:p>
    <w:p>
      <w:pPr>
        <w:tabs>
          <w:tab w:val="left" w:pos="0"/>
        </w:tabs>
        <w:autoSpaceDE w:val="0"/>
        <w:autoSpaceDN w:val="0"/>
        <w:snapToGrid w:val="0"/>
        <w:spacing w:line="360" w:lineRule="auto"/>
        <w:ind w:firstLine="540"/>
        <w:rPr>
          <w:rFonts w:ascii="宋体" w:hAnsi="宋体" w:cs="仿宋_GB2312"/>
          <w:szCs w:val="21"/>
        </w:rPr>
      </w:pPr>
      <w:r>
        <w:rPr>
          <w:rFonts w:hint="eastAsia" w:ascii="宋体" w:hAnsi="宋体" w:cs="仿宋_GB2312"/>
          <w:szCs w:val="21"/>
        </w:rPr>
        <w:t>● 方案讲解和系统现场演示中对专家提出问题的回答情况是否全面、科学、合理。（3分）</w:t>
      </w:r>
    </w:p>
    <w:p>
      <w:pPr>
        <w:tabs>
          <w:tab w:val="left" w:pos="0"/>
        </w:tabs>
        <w:spacing w:line="360" w:lineRule="auto"/>
        <w:ind w:firstLine="422" w:firstLineChars="200"/>
        <w:rPr>
          <w:rFonts w:ascii="宋体" w:hAnsi="宋体" w:cs="仿宋_GB2312"/>
          <w:b/>
          <w:szCs w:val="21"/>
        </w:rPr>
      </w:pPr>
      <w:r>
        <w:rPr>
          <w:rFonts w:hint="eastAsia" w:ascii="宋体" w:hAnsi="宋体" w:cs="仿宋_GB2312"/>
          <w:b/>
          <w:szCs w:val="21"/>
        </w:rPr>
        <w:t>（3）关键技术解决方案和资源整合利用的能力（</w:t>
      </w:r>
      <w:r>
        <w:rPr>
          <w:rFonts w:ascii="宋体" w:hAnsi="宋体" w:cs="仿宋_GB2312"/>
          <w:b/>
          <w:szCs w:val="21"/>
        </w:rPr>
        <w:t>20</w:t>
      </w:r>
      <w:r>
        <w:rPr>
          <w:rFonts w:hint="eastAsia" w:ascii="宋体" w:hAnsi="宋体" w:cs="仿宋_GB2312"/>
          <w:b/>
          <w:szCs w:val="21"/>
        </w:rPr>
        <w:t>分）：</w:t>
      </w:r>
    </w:p>
    <w:p>
      <w:pPr>
        <w:tabs>
          <w:tab w:val="left" w:pos="0"/>
        </w:tabs>
        <w:spacing w:line="360" w:lineRule="auto"/>
        <w:ind w:firstLine="420" w:firstLineChars="200"/>
        <w:rPr>
          <w:rFonts w:ascii="宋体" w:hAnsi="宋体" w:cs="宋体"/>
          <w:szCs w:val="21"/>
        </w:rPr>
      </w:pPr>
      <w:r>
        <w:rPr>
          <w:rFonts w:hint="eastAsia" w:ascii="宋体" w:hAnsi="宋体" w:cs="仿宋_GB2312"/>
          <w:szCs w:val="21"/>
        </w:rPr>
        <w:t>● 提供气象预测数据的接入方案，</w:t>
      </w:r>
      <w:r>
        <w:rPr>
          <w:rFonts w:hint="eastAsia" w:ascii="宋体" w:hAnsi="宋体" w:cs="宋体"/>
          <w:szCs w:val="21"/>
        </w:rPr>
        <w:t>其中包括数据获取、分析和处理过程，方案由专家进行认定并进行横向打分，最高得2分。提供类似案例，案例由专家进行认定是否符合要求，最高得1分；（3分）</w:t>
      </w:r>
    </w:p>
    <w:p>
      <w:pPr>
        <w:tabs>
          <w:tab w:val="left" w:pos="0"/>
        </w:tabs>
        <w:spacing w:line="360" w:lineRule="auto"/>
        <w:ind w:firstLine="420" w:firstLineChars="200"/>
        <w:rPr>
          <w:rFonts w:ascii="宋体" w:hAnsi="宋体" w:cs="宋体"/>
          <w:szCs w:val="21"/>
        </w:rPr>
      </w:pPr>
      <w:r>
        <w:rPr>
          <w:rFonts w:hint="eastAsia" w:ascii="宋体" w:hAnsi="宋体" w:cs="仿宋_GB2312"/>
          <w:szCs w:val="21"/>
        </w:rPr>
        <w:t>● 提供水文历史特征库建设方案，内容</w:t>
      </w:r>
      <w:r>
        <w:rPr>
          <w:rFonts w:hint="eastAsia" w:ascii="宋体" w:hAnsi="宋体" w:cs="宋体"/>
          <w:szCs w:val="21"/>
        </w:rPr>
        <w:t>包括数据库设计，特征数据提取，特征数据更新机制建立以及特征数据库管理与维护，方案由专家进行认定并进行横向打分，最高得3分；提供类似案例，案例由专家进行认定是否符合要求，最高得2分；（5分）</w:t>
      </w:r>
    </w:p>
    <w:p>
      <w:pPr>
        <w:tabs>
          <w:tab w:val="left" w:pos="0"/>
        </w:tabs>
        <w:spacing w:line="360" w:lineRule="auto"/>
        <w:ind w:firstLine="525" w:firstLineChars="250"/>
        <w:rPr>
          <w:rFonts w:ascii="宋体" w:hAnsi="宋体" w:cs="宋体"/>
          <w:szCs w:val="21"/>
        </w:rPr>
      </w:pPr>
      <w:r>
        <w:rPr>
          <w:rFonts w:hint="eastAsia" w:ascii="宋体" w:hAnsi="宋体" w:cs="仿宋_GB2312"/>
          <w:szCs w:val="21"/>
        </w:rPr>
        <w:t>● 提供多源流量数据的接入、整理及综合展示方案，</w:t>
      </w:r>
      <w:r>
        <w:rPr>
          <w:rFonts w:hint="eastAsia" w:ascii="宋体" w:hAnsi="宋体" w:cs="宋体"/>
          <w:szCs w:val="21"/>
        </w:rPr>
        <w:t>方案由专家进行横向打分，</w:t>
      </w:r>
      <w:r>
        <w:rPr>
          <w:rFonts w:hint="eastAsia" w:ascii="宋体" w:hAnsi="宋体" w:cs="仿宋_GB2312"/>
          <w:szCs w:val="21"/>
        </w:rPr>
        <w:t>最高得3分。并提供类似开发类似案例由专家进行认定是否符合要求，最高得</w:t>
      </w:r>
      <w:r>
        <w:rPr>
          <w:rFonts w:ascii="宋体" w:hAnsi="宋体" w:cs="仿宋_GB2312"/>
          <w:szCs w:val="21"/>
        </w:rPr>
        <w:t>2</w:t>
      </w:r>
      <w:r>
        <w:rPr>
          <w:rFonts w:hint="eastAsia" w:ascii="宋体" w:hAnsi="宋体" w:cs="仿宋_GB2312"/>
          <w:szCs w:val="21"/>
        </w:rPr>
        <w:t>分；</w:t>
      </w:r>
      <w:r>
        <w:rPr>
          <w:rFonts w:hint="eastAsia" w:ascii="宋体" w:hAnsi="宋体" w:cs="宋体"/>
          <w:szCs w:val="21"/>
        </w:rPr>
        <w:t>（</w:t>
      </w:r>
      <w:r>
        <w:rPr>
          <w:rFonts w:ascii="宋体" w:hAnsi="宋体" w:cs="宋体"/>
          <w:szCs w:val="21"/>
        </w:rPr>
        <w:t>5</w:t>
      </w:r>
      <w:r>
        <w:rPr>
          <w:rFonts w:hint="eastAsia" w:ascii="宋体" w:hAnsi="宋体" w:cs="宋体"/>
          <w:szCs w:val="21"/>
        </w:rPr>
        <w:t>分）</w:t>
      </w:r>
    </w:p>
    <w:p>
      <w:pPr>
        <w:tabs>
          <w:tab w:val="left" w:pos="0"/>
        </w:tabs>
        <w:spacing w:line="360" w:lineRule="auto"/>
        <w:ind w:firstLine="525" w:firstLineChars="250"/>
        <w:rPr>
          <w:rFonts w:ascii="宋体" w:hAnsi="宋体" w:cs="宋体"/>
          <w:szCs w:val="21"/>
        </w:rPr>
      </w:pPr>
      <w:r>
        <w:rPr>
          <w:rFonts w:hint="eastAsia" w:ascii="宋体" w:hAnsi="宋体" w:cs="仿宋_GB2312"/>
          <w:szCs w:val="21"/>
        </w:rPr>
        <w:t>● 根据需求</w:t>
      </w:r>
      <w:r>
        <w:rPr>
          <w:rFonts w:hint="eastAsia" w:ascii="宋体" w:hAnsi="宋体" w:cs="宋体"/>
          <w:szCs w:val="21"/>
        </w:rPr>
        <w:t>对水情报表单元模板中水情常用报表模板进行详细描述，方案由专家进行横向打分，</w:t>
      </w:r>
      <w:r>
        <w:rPr>
          <w:rFonts w:hint="eastAsia" w:ascii="宋体" w:hAnsi="宋体" w:cs="仿宋_GB2312"/>
          <w:szCs w:val="21"/>
        </w:rPr>
        <w:t>最高得3分。</w:t>
      </w:r>
      <w:r>
        <w:rPr>
          <w:rFonts w:hint="eastAsia" w:ascii="宋体" w:hAnsi="宋体" w:cs="宋体"/>
          <w:szCs w:val="21"/>
        </w:rPr>
        <w:t>并提供专业水情报表研发的相关案例，案例由专家进行认定是否符合要求。最高得2分；（</w:t>
      </w:r>
      <w:r>
        <w:rPr>
          <w:rFonts w:ascii="宋体" w:hAnsi="宋体" w:cs="宋体"/>
          <w:szCs w:val="21"/>
        </w:rPr>
        <w:t>5</w:t>
      </w:r>
      <w:r>
        <w:rPr>
          <w:rFonts w:hint="eastAsia" w:ascii="宋体" w:hAnsi="宋体" w:cs="宋体"/>
          <w:szCs w:val="21"/>
        </w:rPr>
        <w:t>分）</w:t>
      </w:r>
    </w:p>
    <w:p>
      <w:pPr>
        <w:tabs>
          <w:tab w:val="left" w:pos="0"/>
        </w:tabs>
        <w:spacing w:line="360" w:lineRule="auto"/>
        <w:ind w:firstLine="516" w:firstLineChars="246"/>
        <w:rPr>
          <w:rFonts w:ascii="宋体" w:hAnsi="宋体" w:cs="仿宋_GB2312"/>
          <w:szCs w:val="21"/>
        </w:rPr>
      </w:pPr>
      <w:r>
        <w:rPr>
          <w:rFonts w:hint="eastAsia" w:ascii="宋体" w:hAnsi="宋体" w:cs="仿宋_GB2312"/>
          <w:szCs w:val="21"/>
        </w:rPr>
        <w:t>● 投标人方案设计中的关键技术解决能力及二次开发能力，响应人根据自身经验对系统需求进行优化设计的情况；（</w:t>
      </w:r>
      <w:r>
        <w:rPr>
          <w:rFonts w:ascii="宋体" w:hAnsi="宋体" w:cs="仿宋_GB2312"/>
          <w:szCs w:val="21"/>
        </w:rPr>
        <w:t>2</w:t>
      </w:r>
      <w:r>
        <w:rPr>
          <w:rFonts w:hint="eastAsia" w:ascii="宋体" w:hAnsi="宋体" w:cs="仿宋_GB2312"/>
          <w:szCs w:val="21"/>
        </w:rPr>
        <w:t>分）</w:t>
      </w:r>
    </w:p>
    <w:p>
      <w:pPr>
        <w:tabs>
          <w:tab w:val="left" w:pos="0"/>
        </w:tabs>
        <w:spacing w:line="360" w:lineRule="auto"/>
        <w:ind w:firstLine="474" w:firstLineChars="225"/>
        <w:rPr>
          <w:rFonts w:ascii="宋体" w:hAnsi="宋体" w:cs="仿宋_GB2312"/>
          <w:b/>
          <w:szCs w:val="21"/>
        </w:rPr>
      </w:pPr>
      <w:r>
        <w:rPr>
          <w:rFonts w:hint="eastAsia" w:ascii="宋体" w:hAnsi="宋体" w:cs="仿宋_GB2312"/>
          <w:b/>
          <w:szCs w:val="21"/>
        </w:rPr>
        <w:t>（4）组织实施方案（2分）：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响应人项目组织实施方案的科学性、合理性、规范性和可操作性，包括软件开发、安装调试、系统集成、试运行、测试、调优、应用开发培训、系统管理培训、系统运行维护培训等内容，以及组织机构、实施场所、工作时间进度表、工作程序和步骤、管理和协调方法、关键步骤的思路和要点等。（</w:t>
      </w:r>
      <w:r>
        <w:rPr>
          <w:rFonts w:ascii="宋体" w:hAnsi="宋体" w:cs="仿宋_GB2312"/>
          <w:szCs w:val="21"/>
        </w:rPr>
        <w:t>2</w:t>
      </w:r>
      <w:r>
        <w:rPr>
          <w:rFonts w:hint="eastAsia" w:ascii="宋体" w:hAnsi="宋体" w:cs="仿宋_GB2312"/>
          <w:szCs w:val="21"/>
        </w:rPr>
        <w:t>分）</w:t>
      </w:r>
    </w:p>
    <w:p>
      <w:pPr>
        <w:tabs>
          <w:tab w:val="left" w:pos="0"/>
        </w:tabs>
        <w:spacing w:line="360" w:lineRule="auto"/>
        <w:ind w:firstLine="474" w:firstLineChars="225"/>
        <w:rPr>
          <w:rFonts w:ascii="宋体" w:hAnsi="宋体" w:cs="仿宋_GB2312"/>
          <w:szCs w:val="21"/>
        </w:rPr>
      </w:pPr>
      <w:r>
        <w:rPr>
          <w:rFonts w:hint="eastAsia" w:ascii="宋体" w:hAnsi="宋体" w:cs="仿宋_GB2312"/>
          <w:b/>
          <w:szCs w:val="21"/>
        </w:rPr>
        <w:t>（5）售后服务保障情况（4分）：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 投标人提供的本地化售后维护机构和人员等情况，售后服务承诺的可行性、完整性以及服务承诺落实的保障措施等情况；对该项目提供全程的维修服务和系统保障；本项目同时由项目经理提供对口支持；（2分）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 投标人提供的售后服务方案、维护人员和机构等情况，是否满足采购人的要求，质保期3年得1分，多一年加0.5分，总分不超过2分；（2分）</w:t>
      </w:r>
    </w:p>
    <w:p>
      <w:pPr>
        <w:tabs>
          <w:tab w:val="left" w:pos="0"/>
        </w:tabs>
        <w:spacing w:line="360" w:lineRule="auto"/>
        <w:ind w:firstLine="422" w:firstLineChars="200"/>
        <w:rPr>
          <w:rFonts w:ascii="宋体" w:hAnsi="宋体" w:cs="仿宋_GB2312"/>
          <w:b/>
          <w:szCs w:val="21"/>
        </w:rPr>
      </w:pPr>
      <w:r>
        <w:rPr>
          <w:rFonts w:hint="eastAsia" w:ascii="宋体" w:hAnsi="宋体" w:cs="仿宋_GB2312"/>
          <w:b/>
          <w:szCs w:val="21"/>
        </w:rPr>
        <w:t>（6）项目的投入和项目组人员素质情况（9分）：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 拟担任本项目经理或技术负责人的专业素质、技术能力、经验等情况。是否具有水利信息化高级工程师、系统分析师、项目管理师资格证书，每项最多1分，不重复加分；（3分）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 拟担任本项目经理或技术负责人，提供一项主持或参与国家级、省级、市级项目证明材料。主持或参与过国家级重点项目（1.5分）、省部级重大科技专项（1分）、市厅级重大科技专项（0.5分），每项最多加一次，不重复加分；（3分）</w:t>
      </w:r>
    </w:p>
    <w:p>
      <w:pPr>
        <w:tabs>
          <w:tab w:val="left" w:pos="0"/>
        </w:tabs>
        <w:spacing w:line="360" w:lineRule="auto"/>
        <w:rPr>
          <w:rFonts w:ascii="宋体" w:hAnsi="宋体" w:cs="仿宋_GB2312"/>
          <w:szCs w:val="21"/>
        </w:rPr>
      </w:pPr>
      <w:r>
        <w:rPr>
          <w:rFonts w:hint="eastAsia" w:ascii="宋体" w:hAnsi="宋体" w:cs="仿宋_GB2312"/>
          <w:szCs w:val="21"/>
        </w:rPr>
        <w:tab/>
      </w:r>
      <w:r>
        <w:rPr>
          <w:rFonts w:hint="eastAsia" w:ascii="宋体" w:hAnsi="宋体" w:cs="仿宋_GB2312"/>
          <w:szCs w:val="21"/>
        </w:rPr>
        <w:t>● 项目组实施技术团队人员素质、技术能力、专业分布等情况，数量是否充足，配置是否合理等；项目组内有水文水资源专业、信息安全专业、计算机应用专业的每个专业得1分，相同专业不重复计分，参与加分人员应是本公司的固定职员，需提供参保证明。（3分）</w:t>
      </w:r>
    </w:p>
    <w:p>
      <w:pPr>
        <w:tabs>
          <w:tab w:val="left" w:pos="0"/>
        </w:tabs>
        <w:spacing w:line="360" w:lineRule="auto"/>
        <w:ind w:firstLine="474" w:firstLineChars="225"/>
        <w:rPr>
          <w:rFonts w:ascii="宋体" w:hAnsi="宋体" w:cs="仿宋_GB2312"/>
          <w:b/>
          <w:szCs w:val="21"/>
        </w:rPr>
      </w:pPr>
      <w:r>
        <w:rPr>
          <w:rFonts w:hint="eastAsia" w:ascii="宋体" w:hAnsi="宋体" w:cs="仿宋_GB2312"/>
          <w:b/>
          <w:szCs w:val="21"/>
        </w:rPr>
        <w:t>（7）培训、测试、试运转、验收（2分）：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 投标人提出的功能测试、试运转及验收方案的合理性、可行性情况等；（1分）</w:t>
      </w:r>
    </w:p>
    <w:p>
      <w:pPr>
        <w:tabs>
          <w:tab w:val="left" w:pos="0"/>
        </w:tabs>
        <w:spacing w:line="360" w:lineRule="auto"/>
        <w:ind w:firstLine="472" w:firstLineChars="225"/>
        <w:rPr>
          <w:rFonts w:ascii="宋体" w:hAnsi="宋体" w:cs="仿宋_GB2312"/>
          <w:szCs w:val="21"/>
        </w:rPr>
      </w:pPr>
      <w:r>
        <w:rPr>
          <w:rFonts w:hint="eastAsia" w:ascii="宋体" w:hAnsi="宋体" w:cs="仿宋_GB2312"/>
          <w:szCs w:val="21"/>
        </w:rPr>
        <w:t>● 投标人提出的培训计划（是否提供业务人员应用培训和管理员级培训）、地点、组织、人员配备、软硬件资料等内容是否完整、科学合理，费用计入总报价。（1分）</w:t>
      </w:r>
    </w:p>
    <w:p>
      <w:pPr>
        <w:pStyle w:val="2"/>
      </w:pPr>
    </w:p>
    <w:p>
      <w:pPr>
        <w:adjustRightInd w:val="0"/>
        <w:snapToGrid w:val="0"/>
        <w:spacing w:line="400" w:lineRule="exact"/>
        <w:ind w:firstLine="422" w:firstLineChars="200"/>
        <w:rPr>
          <w:rFonts w:ascii="宋体" w:hAnsi="宋体"/>
          <w:b/>
          <w:szCs w:val="21"/>
        </w:rPr>
      </w:pPr>
      <w:r>
        <w:rPr>
          <w:rFonts w:hint="eastAsia" w:ascii="宋体" w:hAnsi="宋体"/>
          <w:b/>
          <w:bCs/>
          <w:szCs w:val="21"/>
        </w:rPr>
        <w:t>三、</w:t>
      </w:r>
      <w:r>
        <w:rPr>
          <w:rFonts w:hint="eastAsia" w:ascii="宋体" w:hAnsi="宋体"/>
          <w:b/>
          <w:szCs w:val="21"/>
        </w:rPr>
        <w:t>投标人的资质和业绩情况</w:t>
      </w:r>
      <w:r>
        <w:rPr>
          <w:rFonts w:hint="eastAsia" w:ascii="宋体" w:hAnsi="宋体"/>
          <w:b/>
          <w:bCs/>
          <w:szCs w:val="21"/>
        </w:rPr>
        <w:t>（C=1</w:t>
      </w:r>
      <w:r>
        <w:rPr>
          <w:rFonts w:ascii="宋体" w:hAnsi="宋体"/>
          <w:b/>
          <w:bCs/>
          <w:szCs w:val="21"/>
        </w:rPr>
        <w:t>2</w:t>
      </w:r>
      <w:r>
        <w:rPr>
          <w:rFonts w:hint="eastAsia" w:ascii="宋体" w:hAnsi="宋体"/>
          <w:b/>
          <w:bCs/>
          <w:szCs w:val="21"/>
        </w:rPr>
        <w:t>分）：</w:t>
      </w:r>
      <w:r>
        <w:rPr>
          <w:rFonts w:hint="eastAsia" w:ascii="宋体" w:hAnsi="宋体"/>
          <w:szCs w:val="21"/>
        </w:rPr>
        <w:t>主要包含公司资质、类似</w:t>
      </w:r>
      <w:r>
        <w:rPr>
          <w:rFonts w:hint="eastAsia" w:ascii="宋体" w:hAnsi="宋体"/>
          <w:kern w:val="28"/>
          <w:szCs w:val="21"/>
        </w:rPr>
        <w:t>项目建设</w:t>
      </w:r>
      <w:r>
        <w:rPr>
          <w:rFonts w:hint="eastAsia" w:ascii="宋体" w:hAnsi="宋体"/>
          <w:szCs w:val="21"/>
        </w:rPr>
        <w:t>成功案例等方面的因素。</w:t>
      </w:r>
    </w:p>
    <w:p>
      <w:pPr>
        <w:adjustRightInd w:val="0"/>
        <w:snapToGrid w:val="0"/>
        <w:spacing w:line="400" w:lineRule="exact"/>
        <w:ind w:firstLine="420" w:firstLineChars="200"/>
        <w:rPr>
          <w:rFonts w:ascii="宋体" w:hAnsi="宋体"/>
          <w:szCs w:val="21"/>
        </w:rPr>
      </w:pPr>
      <w:r>
        <w:rPr>
          <w:rFonts w:hint="eastAsia" w:ascii="宋体" w:hAnsi="宋体"/>
          <w:szCs w:val="21"/>
        </w:rPr>
        <w:t>评审要点为：</w:t>
      </w:r>
    </w:p>
    <w:p>
      <w:pPr>
        <w:spacing w:line="400" w:lineRule="exact"/>
        <w:ind w:left="126" w:leftChars="60" w:firstLine="300" w:firstLineChars="143"/>
        <w:jc w:val="left"/>
        <w:rPr>
          <w:rFonts w:ascii="宋体" w:hAnsi="宋体"/>
          <w:b/>
          <w:kern w:val="0"/>
          <w:szCs w:val="21"/>
        </w:rPr>
      </w:pPr>
      <w:r>
        <w:rPr>
          <w:rFonts w:hint="eastAsia" w:ascii="宋体" w:hAnsi="宋体"/>
          <w:kern w:val="0"/>
          <w:szCs w:val="21"/>
        </w:rPr>
        <w:t>（</w:t>
      </w:r>
      <w:r>
        <w:rPr>
          <w:rFonts w:hint="eastAsia" w:ascii="宋体" w:hAnsi="宋体"/>
          <w:b/>
          <w:kern w:val="0"/>
          <w:szCs w:val="21"/>
        </w:rPr>
        <w:t>1）</w:t>
      </w:r>
      <w:r>
        <w:rPr>
          <w:rFonts w:hint="eastAsia" w:ascii="宋体" w:hAnsi="宋体"/>
          <w:b/>
          <w:szCs w:val="21"/>
        </w:rPr>
        <w:t>投标人的资质、信誉、知名度等（</w:t>
      </w:r>
      <w:r>
        <w:rPr>
          <w:rFonts w:ascii="宋体" w:hAnsi="宋体"/>
          <w:b/>
          <w:szCs w:val="21"/>
        </w:rPr>
        <w:t>1</w:t>
      </w:r>
      <w:r>
        <w:rPr>
          <w:rFonts w:hint="eastAsia" w:ascii="宋体" w:hAnsi="宋体"/>
          <w:b/>
          <w:szCs w:val="21"/>
        </w:rPr>
        <w:t>分）</w:t>
      </w:r>
      <w:r>
        <w:rPr>
          <w:rFonts w:hint="eastAsia" w:ascii="宋体" w:hAnsi="宋体"/>
          <w:b/>
          <w:kern w:val="0"/>
          <w:szCs w:val="21"/>
        </w:rPr>
        <w:t>：</w:t>
      </w:r>
    </w:p>
    <w:p>
      <w:pPr>
        <w:spacing w:line="400" w:lineRule="exact"/>
        <w:ind w:left="126" w:leftChars="60" w:firstLine="301" w:firstLineChars="143"/>
        <w:jc w:val="left"/>
        <w:rPr>
          <w:rFonts w:ascii="宋体" w:hAnsi="宋体"/>
          <w:b/>
          <w:szCs w:val="21"/>
        </w:rPr>
      </w:pPr>
      <w:r>
        <w:rPr>
          <w:rFonts w:hint="eastAsia" w:ascii="宋体" w:hAnsi="宋体"/>
          <w:b/>
          <w:bCs/>
          <w:szCs w:val="21"/>
        </w:rPr>
        <w:t>投标人资质信誉好、知名度高、市场形象佳、用户反馈好、无违法违规记录的，得1分；</w:t>
      </w:r>
      <w:r>
        <w:rPr>
          <w:rFonts w:hint="eastAsia" w:ascii="宋体" w:hAnsi="宋体"/>
          <w:szCs w:val="21"/>
        </w:rPr>
        <w:t>上述各项中有欠缺的或者投标人存在未结纠纷（诉讼）的，每项扣1分，扣完该项得分为止；在政府采购活动中有不诚信记录的，本项不得分；</w:t>
      </w:r>
      <w:r>
        <w:rPr>
          <w:rFonts w:hint="eastAsia" w:ascii="宋体" w:hAnsi="宋体"/>
          <w:b/>
          <w:szCs w:val="21"/>
        </w:rPr>
        <w:t>三年内有重大违法记录的，取消投标资格。</w:t>
      </w:r>
    </w:p>
    <w:p>
      <w:pPr>
        <w:spacing w:line="400" w:lineRule="exact"/>
        <w:ind w:left="126" w:leftChars="60" w:firstLine="301" w:firstLineChars="143"/>
        <w:jc w:val="left"/>
        <w:rPr>
          <w:rFonts w:ascii="宋体" w:hAnsi="宋体"/>
          <w:b/>
          <w:szCs w:val="21"/>
        </w:rPr>
      </w:pPr>
      <w:r>
        <w:rPr>
          <w:rFonts w:hint="eastAsia" w:ascii="宋体" w:hAnsi="宋体"/>
          <w:b/>
          <w:szCs w:val="21"/>
        </w:rPr>
        <w:t>（2）投标人具有类似软件的研发经验（</w:t>
      </w:r>
      <w:r>
        <w:rPr>
          <w:rFonts w:ascii="宋体" w:hAnsi="宋体"/>
          <w:b/>
          <w:szCs w:val="21"/>
        </w:rPr>
        <w:t>6</w:t>
      </w:r>
      <w:r>
        <w:rPr>
          <w:rFonts w:hint="eastAsia" w:ascii="宋体" w:hAnsi="宋体"/>
          <w:b/>
          <w:szCs w:val="21"/>
        </w:rPr>
        <w:t>分）：</w:t>
      </w:r>
    </w:p>
    <w:p>
      <w:pPr>
        <w:spacing w:line="400" w:lineRule="exact"/>
        <w:ind w:left="126" w:leftChars="60" w:firstLine="300" w:firstLineChars="143"/>
        <w:jc w:val="left"/>
        <w:rPr>
          <w:rFonts w:ascii="宋体" w:hAnsi="宋体"/>
          <w:bCs/>
          <w:szCs w:val="21"/>
        </w:rPr>
      </w:pPr>
      <w:r>
        <w:rPr>
          <w:rFonts w:hint="eastAsia" w:ascii="宋体" w:hAnsi="宋体"/>
          <w:bCs/>
          <w:szCs w:val="21"/>
        </w:rPr>
        <w:t>在本公告发布前取得与用户需求相关的</w:t>
      </w:r>
      <w:r>
        <w:rPr>
          <w:rFonts w:hint="eastAsia" w:ascii="宋体" w:hAnsi="宋体"/>
          <w:b/>
          <w:szCs w:val="21"/>
        </w:rPr>
        <w:t>水文标准化数据中心、降雨空间分布分析及展示、历史水情同期对比分析、流域洪水预报、水库洪水预报调度、数据资源中心平台等类似</w:t>
      </w:r>
      <w:r>
        <w:rPr>
          <w:rFonts w:hint="eastAsia" w:ascii="宋体" w:hAnsi="宋体"/>
          <w:bCs/>
          <w:szCs w:val="21"/>
        </w:rPr>
        <w:t>的计算机软件产品登记证书或计算机软件著作权登记证书，每项得1分，最高得</w:t>
      </w:r>
      <w:r>
        <w:rPr>
          <w:rFonts w:ascii="宋体" w:hAnsi="宋体"/>
          <w:bCs/>
          <w:szCs w:val="21"/>
        </w:rPr>
        <w:t>6</w:t>
      </w:r>
      <w:r>
        <w:rPr>
          <w:rFonts w:hint="eastAsia" w:ascii="宋体" w:hAnsi="宋体"/>
          <w:bCs/>
          <w:szCs w:val="21"/>
        </w:rPr>
        <w:t>分。</w:t>
      </w:r>
    </w:p>
    <w:p>
      <w:pPr>
        <w:spacing w:line="400" w:lineRule="exact"/>
        <w:ind w:firstLine="422" w:firstLineChars="200"/>
        <w:rPr>
          <w:rFonts w:ascii="宋体" w:hAnsi="宋体"/>
          <w:b/>
          <w:kern w:val="0"/>
          <w:szCs w:val="21"/>
        </w:rPr>
      </w:pPr>
      <w:r>
        <w:rPr>
          <w:rFonts w:hint="eastAsia" w:ascii="宋体" w:hAnsi="宋体"/>
          <w:b/>
          <w:kern w:val="0"/>
          <w:szCs w:val="21"/>
        </w:rPr>
        <w:t>（</w:t>
      </w:r>
      <w:r>
        <w:rPr>
          <w:rFonts w:ascii="宋体" w:hAnsi="宋体"/>
          <w:b/>
          <w:kern w:val="0"/>
          <w:szCs w:val="21"/>
        </w:rPr>
        <w:t>3</w:t>
      </w:r>
      <w:r>
        <w:rPr>
          <w:rFonts w:hint="eastAsia" w:ascii="宋体" w:hAnsi="宋体"/>
          <w:b/>
          <w:kern w:val="0"/>
          <w:szCs w:val="21"/>
        </w:rPr>
        <w:t>）</w:t>
      </w:r>
      <w:r>
        <w:rPr>
          <w:rFonts w:hint="eastAsia" w:ascii="宋体" w:hAnsi="宋体"/>
          <w:b/>
          <w:szCs w:val="21"/>
        </w:rPr>
        <w:t>投标人类似项目的成功经验</w:t>
      </w:r>
      <w:r>
        <w:rPr>
          <w:rFonts w:hint="eastAsia" w:ascii="宋体" w:hAnsi="宋体"/>
          <w:b/>
          <w:kern w:val="0"/>
          <w:szCs w:val="21"/>
        </w:rPr>
        <w:t>（</w:t>
      </w:r>
      <w:r>
        <w:rPr>
          <w:rFonts w:ascii="宋体" w:hAnsi="宋体"/>
          <w:b/>
          <w:kern w:val="0"/>
          <w:szCs w:val="21"/>
        </w:rPr>
        <w:t>5</w:t>
      </w:r>
      <w:r>
        <w:rPr>
          <w:rFonts w:hint="eastAsia" w:ascii="宋体" w:hAnsi="宋体"/>
          <w:b/>
          <w:kern w:val="0"/>
          <w:szCs w:val="21"/>
        </w:rPr>
        <w:t>分）：</w:t>
      </w:r>
    </w:p>
    <w:p>
      <w:pPr>
        <w:spacing w:line="360" w:lineRule="auto"/>
        <w:ind w:firstLine="420" w:firstLineChars="200"/>
        <w:rPr>
          <w:rFonts w:ascii="宋体" w:hAnsi="宋体"/>
          <w:kern w:val="0"/>
          <w:szCs w:val="21"/>
        </w:rPr>
      </w:pPr>
      <w:r>
        <w:rPr>
          <w:rFonts w:hint="eastAsia" w:ascii="宋体" w:hAnsi="宋体"/>
        </w:rPr>
        <w:t>提供近三年以来类似的成功实施案例</w:t>
      </w:r>
      <w:r>
        <w:rPr>
          <w:rFonts w:hint="eastAsia" w:ascii="宋体" w:hAnsi="宋体"/>
          <w:kern w:val="0"/>
          <w:szCs w:val="21"/>
        </w:rPr>
        <w:t>合同复印件（以合同签订日期为准，原件备查，招标代理机构在项目评审直至合同签订、履约期间，有权要求投标人出具投标文件中的主要业绩证明原件：如合同或用户验收报告等，予以确认其的真实性和有效性，如出现与事实不符等情况，将根据有关规定以“提供虚假材料谋取中标”予以处罚），如投标人提供的合同复印件等实施项目证明材料与投标主体无关或违规转包分包的，评标委员会将进行扣分直至认定投标无效。</w:t>
      </w:r>
    </w:p>
    <w:p>
      <w:pPr>
        <w:pStyle w:val="2"/>
        <w:spacing w:line="360" w:lineRule="auto"/>
        <w:rPr>
          <w:rFonts w:ascii="宋体" w:hAnsi="宋体" w:eastAsia="宋体"/>
          <w:b/>
          <w:bCs/>
          <w:color w:val="auto"/>
          <w:sz w:val="21"/>
          <w:szCs w:val="21"/>
        </w:rPr>
      </w:pPr>
      <w:r>
        <w:rPr>
          <w:rFonts w:ascii="宋体" w:hAnsi="宋体" w:eastAsia="宋体"/>
          <w:b/>
          <w:bCs/>
          <w:color w:val="auto"/>
          <w:sz w:val="21"/>
          <w:szCs w:val="21"/>
        </w:rPr>
        <w:t>提供近三年以来开发与本项目用户需求类似的系统实施案例的合同，每个项目得1分，最高得5分。</w:t>
      </w:r>
    </w:p>
    <w:p>
      <w:pPr>
        <w:spacing w:line="400" w:lineRule="exact"/>
        <w:ind w:firstLine="422" w:firstLineChars="200"/>
        <w:rPr>
          <w:rFonts w:ascii="宋体" w:hAnsi="宋体"/>
          <w:b/>
          <w:szCs w:val="21"/>
        </w:rPr>
      </w:pPr>
      <w:r>
        <w:rPr>
          <w:rFonts w:hint="eastAsia" w:ascii="宋体" w:hAnsi="宋体"/>
          <w:b/>
          <w:szCs w:val="21"/>
        </w:rPr>
        <w:t>★ 综合得分=A（20分）+B（68分）+C（1</w:t>
      </w:r>
      <w:r>
        <w:rPr>
          <w:rFonts w:ascii="宋体" w:hAnsi="宋体"/>
          <w:b/>
          <w:szCs w:val="21"/>
        </w:rPr>
        <w:t>2</w:t>
      </w:r>
      <w:r>
        <w:rPr>
          <w:rFonts w:hint="eastAsia" w:ascii="宋体" w:hAnsi="宋体"/>
          <w:b/>
          <w:szCs w:val="21"/>
        </w:rPr>
        <w:t>分）=100分</w:t>
      </w:r>
    </w:p>
    <w:p>
      <w:pPr>
        <w:pStyle w:val="2"/>
        <w:rPr>
          <w:color w:val="auto"/>
        </w:rPr>
      </w:pPr>
    </w:p>
    <w:p>
      <w:pPr>
        <w:pStyle w:val="25"/>
        <w:spacing w:line="360" w:lineRule="auto"/>
        <w:ind w:firstLine="420" w:firstLineChars="200"/>
        <w:rPr>
          <w:rFonts w:hAnsi="宋体"/>
        </w:rPr>
      </w:pPr>
      <w:r>
        <w:rPr>
          <w:rFonts w:hint="eastAsia" w:hAnsi="宋体"/>
          <w:b/>
        </w:rPr>
        <w:t>▲ 减分：投标人的信誉情况（D）：</w:t>
      </w:r>
      <w:r>
        <w:rPr>
          <w:rFonts w:hint="eastAsia" w:hAnsi="宋体"/>
          <w:kern w:val="0"/>
        </w:rPr>
        <w:t>政府采购领域中</w:t>
      </w:r>
      <w:r>
        <w:rPr>
          <w:rFonts w:hint="eastAsia" w:hAnsi="宋体"/>
        </w:rPr>
        <w:t>投标人在项目招标、投标和合同履约期间是否存在不良行为记录。</w:t>
      </w:r>
    </w:p>
    <w:p>
      <w:pPr>
        <w:spacing w:line="360" w:lineRule="auto"/>
        <w:ind w:firstLine="407" w:firstLineChars="194"/>
        <w:rPr>
          <w:rFonts w:ascii="宋体" w:hAnsi="宋体"/>
          <w:szCs w:val="21"/>
        </w:rPr>
      </w:pPr>
      <w:r>
        <w:rPr>
          <w:rFonts w:hint="eastAsia" w:ascii="宋体" w:hAnsi="宋体"/>
          <w:szCs w:val="21"/>
        </w:rPr>
        <w:t>● 投标人参与本次招标活动前三年内在浙江省范围内政府采购领域中受到不良行为记录处罚的每次扣1分。</w:t>
      </w:r>
    </w:p>
    <w:p>
      <w:pPr>
        <w:spacing w:line="360" w:lineRule="auto"/>
        <w:ind w:firstLine="409" w:firstLineChars="194"/>
        <w:rPr>
          <w:rFonts w:ascii="宋体" w:hAnsi="宋体"/>
          <w:b/>
          <w:szCs w:val="21"/>
        </w:rPr>
      </w:pPr>
      <w:r>
        <w:rPr>
          <w:rFonts w:hint="eastAsia" w:ascii="宋体" w:hAnsi="宋体"/>
          <w:b/>
          <w:szCs w:val="21"/>
        </w:rPr>
        <w:t>▲ 总分=综合得分-D</w:t>
      </w:r>
    </w:p>
    <w:p>
      <w:pPr>
        <w:pStyle w:val="25"/>
        <w:spacing w:line="360" w:lineRule="auto"/>
        <w:ind w:firstLine="411" w:firstLineChars="196"/>
        <w:rPr>
          <w:rFonts w:hAnsi="宋体" w:cs="Tahoma"/>
        </w:rPr>
      </w:pPr>
      <w:r>
        <w:rPr>
          <w:rFonts w:hint="eastAsia" w:hAnsi="宋体"/>
        </w:rPr>
        <w:t>评标委员会根据投标人提供的有效证明材料和采购机构提供的相关数据进行打分。</w:t>
      </w:r>
    </w:p>
    <w:p>
      <w:pPr>
        <w:spacing w:line="400" w:lineRule="exact"/>
        <w:ind w:firstLine="316" w:firstLineChars="150"/>
        <w:rPr>
          <w:rFonts w:asciiTheme="minorEastAsia" w:hAnsiTheme="minorEastAsia" w:eastAsiaTheme="minorEastAsia"/>
          <w:b/>
          <w:szCs w:val="21"/>
        </w:rPr>
      </w:pPr>
    </w:p>
    <w:p>
      <w:pPr>
        <w:tabs>
          <w:tab w:val="left" w:pos="735"/>
        </w:tabs>
        <w:adjustRightInd w:val="0"/>
        <w:snapToGrid w:val="0"/>
        <w:spacing w:line="360" w:lineRule="auto"/>
        <w:ind w:firstLine="422" w:firstLineChars="20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报价是中标的一个重要因素，但最低报价不是中标的唯一依据。</w:t>
      </w:r>
    </w:p>
    <w:p>
      <w:pPr>
        <w:tabs>
          <w:tab w:val="left" w:pos="735"/>
        </w:tabs>
        <w:adjustRightInd w:val="0"/>
        <w:snapToGrid w:val="0"/>
        <w:spacing w:line="360" w:lineRule="auto"/>
        <w:ind w:firstLine="422" w:firstLineChars="20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投标报价高于本项目采购预算价的，其投标将作为无效标处理。</w:t>
      </w:r>
    </w:p>
    <w:p>
      <w:pPr>
        <w:adjustRightInd w:val="0"/>
        <w:snapToGrid w:val="0"/>
        <w:spacing w:line="360" w:lineRule="auto"/>
        <w:jc w:val="left"/>
        <w:outlineLvl w:val="0"/>
        <w:rPr>
          <w:rFonts w:asciiTheme="minorEastAsia" w:hAnsiTheme="minorEastAsia" w:eastAsiaTheme="minorEastAsia"/>
          <w:b/>
          <w:snapToGrid w:val="0"/>
          <w:kern w:val="0"/>
          <w:sz w:val="30"/>
          <w:szCs w:val="30"/>
        </w:rPr>
        <w:sectPr>
          <w:footerReference r:id="rId9" w:type="default"/>
          <w:pgSz w:w="11906" w:h="16838"/>
          <w:pgMar w:top="1304" w:right="1588" w:bottom="1304" w:left="1588" w:header="851" w:footer="680" w:gutter="0"/>
          <w:cols w:space="720" w:num="1"/>
          <w:docGrid w:linePitch="312" w:charSpace="0"/>
        </w:sectPr>
      </w:pPr>
    </w:p>
    <w:p>
      <w:pPr>
        <w:adjustRightInd w:val="0"/>
        <w:snapToGrid w:val="0"/>
        <w:spacing w:line="360" w:lineRule="auto"/>
        <w:ind w:firstLine="2409" w:firstLineChars="800"/>
        <w:jc w:val="left"/>
        <w:outlineLvl w:val="0"/>
        <w:rPr>
          <w:rFonts w:asciiTheme="minorEastAsia" w:hAnsiTheme="minorEastAsia" w:eastAsiaTheme="minorEastAsia"/>
          <w:b/>
          <w:bCs/>
          <w:snapToGrid w:val="0"/>
          <w:kern w:val="0"/>
          <w:sz w:val="32"/>
          <w:szCs w:val="32"/>
        </w:rPr>
      </w:pPr>
      <w:bookmarkStart w:id="160" w:name="_Toc23154238"/>
      <w:r>
        <w:rPr>
          <w:rFonts w:hint="eastAsia" w:asciiTheme="minorEastAsia" w:hAnsiTheme="minorEastAsia" w:eastAsiaTheme="minorEastAsia"/>
          <w:b/>
          <w:snapToGrid w:val="0"/>
          <w:kern w:val="0"/>
          <w:sz w:val="30"/>
          <w:szCs w:val="30"/>
        </w:rPr>
        <w:t>第六部分投标文件格式</w:t>
      </w:r>
      <w:bookmarkEnd w:id="156"/>
      <w:bookmarkEnd w:id="157"/>
      <w:bookmarkEnd w:id="158"/>
      <w:bookmarkEnd w:id="159"/>
      <w:bookmarkEnd w:id="160"/>
    </w:p>
    <w:p>
      <w:pPr>
        <w:autoSpaceDE w:val="0"/>
        <w:autoSpaceDN w:val="0"/>
        <w:adjustRightInd w:val="0"/>
        <w:snapToGrid w:val="0"/>
        <w:spacing w:line="360" w:lineRule="auto"/>
        <w:ind w:firstLine="480"/>
        <w:rPr>
          <w:rFonts w:asciiTheme="minorEastAsia" w:hAnsiTheme="minorEastAsia" w:eastAsiaTheme="minorEastAsia"/>
          <w:snapToGrid w:val="0"/>
          <w:kern w:val="0"/>
          <w:sz w:val="24"/>
        </w:rPr>
      </w:pP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说明：</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cs="宋体" w:asciiTheme="minorEastAsia" w:hAnsiTheme="minorEastAsia" w:eastAsiaTheme="minorEastAsia"/>
          <w:snapToGrid w:val="0"/>
          <w:kern w:val="0"/>
        </w:rPr>
        <w:t>．投标文件由投标人根据照招标文件要求参照附件格式编制。</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cs="宋体" w:asciiTheme="minorEastAsia" w:hAnsiTheme="minorEastAsia" w:eastAsiaTheme="minorEastAsia"/>
          <w:snapToGrid w:val="0"/>
          <w:kern w:val="0"/>
        </w:rPr>
        <w:t>．投标人根据实际情况填写。</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asciiTheme="minorEastAsia" w:hAnsiTheme="minorEastAsia" w:eastAsiaTheme="minorEastAsia"/>
          <w:snapToGrid w:val="0"/>
          <w:kern w:val="0"/>
        </w:rPr>
        <w:t>3</w:t>
      </w:r>
      <w:r>
        <w:rPr>
          <w:rFonts w:hint="eastAsia" w:cs="宋体" w:asciiTheme="minorEastAsia" w:hAnsiTheme="minorEastAsia" w:eastAsiaTheme="minorEastAsia"/>
          <w:snapToGrid w:val="0"/>
          <w:kern w:val="0"/>
        </w:rPr>
        <w:t>．招标文件中没有参考格式的，投标人自行编制。</w:t>
      </w:r>
    </w:p>
    <w:p>
      <w:pPr>
        <w:autoSpaceDE w:val="0"/>
        <w:autoSpaceDN w:val="0"/>
        <w:adjustRightInd w:val="0"/>
        <w:snapToGrid w:val="0"/>
        <w:spacing w:line="360" w:lineRule="auto"/>
        <w:outlineLvl w:val="1"/>
        <w:rPr>
          <w:rFonts w:asciiTheme="minorEastAsia" w:hAnsiTheme="minorEastAsia" w:eastAsiaTheme="minorEastAsia"/>
          <w:snapToGrid w:val="0"/>
          <w:kern w:val="0"/>
        </w:rPr>
      </w:pPr>
      <w:r>
        <w:rPr>
          <w:rFonts w:asciiTheme="minorEastAsia" w:hAnsiTheme="minorEastAsia" w:eastAsiaTheme="minorEastAsia"/>
          <w:snapToGrid w:val="0"/>
          <w:kern w:val="0"/>
        </w:rPr>
        <w:br w:type="page"/>
      </w:r>
      <w:bookmarkStart w:id="161" w:name="_Toc420670308"/>
      <w:bookmarkStart w:id="162" w:name="_Toc293401393"/>
    </w:p>
    <w:bookmarkEnd w:id="161"/>
    <w:bookmarkEnd w:id="162"/>
    <w:p>
      <w:pPr>
        <w:pStyle w:val="4"/>
        <w:snapToGrid w:val="0"/>
        <w:spacing w:before="0" w:after="0" w:line="360" w:lineRule="auto"/>
        <w:rPr>
          <w:rFonts w:asciiTheme="minorEastAsia" w:hAnsiTheme="minorEastAsia" w:eastAsiaTheme="minorEastAsia"/>
          <w:snapToGrid w:val="0"/>
          <w:kern w:val="0"/>
          <w:sz w:val="21"/>
          <w:szCs w:val="21"/>
        </w:rPr>
      </w:pPr>
      <w:bookmarkStart w:id="163" w:name="_Toc23154239"/>
      <w:r>
        <w:rPr>
          <w:rFonts w:hint="eastAsia" w:asciiTheme="minorEastAsia" w:hAnsiTheme="minorEastAsia" w:eastAsiaTheme="minorEastAsia"/>
          <w:snapToGrid w:val="0"/>
          <w:kern w:val="0"/>
          <w:sz w:val="21"/>
          <w:szCs w:val="21"/>
        </w:rPr>
        <w:t>一、资格文件部分</w:t>
      </w:r>
      <w:bookmarkEnd w:id="163"/>
    </w:p>
    <w:p>
      <w:pPr>
        <w:jc w:val="center"/>
        <w:rPr>
          <w:snapToGrid w:val="0"/>
          <w:kern w:val="0"/>
          <w:sz w:val="32"/>
        </w:rPr>
      </w:pPr>
      <w:bookmarkStart w:id="164" w:name="_Toc525308273"/>
    </w:p>
    <w:p>
      <w:pPr>
        <w:jc w:val="center"/>
        <w:rPr>
          <w:snapToGrid w:val="0"/>
          <w:kern w:val="0"/>
        </w:rPr>
      </w:pPr>
      <w:r>
        <w:rPr>
          <w:rFonts w:hint="eastAsia"/>
          <w:snapToGrid w:val="0"/>
          <w:kern w:val="0"/>
          <w:sz w:val="32"/>
        </w:rPr>
        <w:t>目录</w:t>
      </w:r>
      <w:bookmarkEnd w:id="164"/>
    </w:p>
    <w:p>
      <w:pPr>
        <w:jc w:val="center"/>
      </w:pPr>
    </w:p>
    <w:p>
      <w:pPr>
        <w:snapToGrid w:val="0"/>
        <w:spacing w:line="360" w:lineRule="auto"/>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（1）</w:t>
      </w:r>
      <w:r>
        <w:rPr>
          <w:rFonts w:hint="eastAsia" w:asciiTheme="minorEastAsia" w:hAnsiTheme="minorEastAsia" w:eastAsiaTheme="minorEastAsia"/>
          <w:snapToGrid w:val="0"/>
          <w:kern w:val="0"/>
          <w:szCs w:val="21"/>
        </w:rPr>
        <w:t>营业执照等证明文件（复印件）、自然人的身份证明</w:t>
      </w:r>
      <w:r>
        <w:rPr>
          <w:rFonts w:hint="eastAsia" w:cs="仿宋_GB2312" w:asciiTheme="minorEastAsia" w:hAnsiTheme="minorEastAsia" w:eastAsiaTheme="minorEastAsia"/>
          <w:kern w:val="0"/>
          <w:szCs w:val="21"/>
        </w:rPr>
        <w:t>……………………………（页码）</w:t>
      </w:r>
    </w:p>
    <w:p>
      <w:pPr>
        <w:adjustRightInd w:val="0"/>
        <w:snapToGrid w:val="0"/>
        <w:spacing w:line="360" w:lineRule="auto"/>
        <w:jc w:val="left"/>
        <w:rPr>
          <w:rFonts w:asciiTheme="minorEastAsia" w:hAnsiTheme="minorEastAsia" w:eastAsiaTheme="minorEastAsia"/>
          <w:snapToGrid w:val="0"/>
          <w:kern w:val="0"/>
          <w:szCs w:val="21"/>
        </w:rPr>
      </w:pPr>
      <w:r>
        <w:rPr>
          <w:rFonts w:hint="eastAsia" w:cs="仿宋_GB2312" w:asciiTheme="minorEastAsia" w:hAnsiTheme="minorEastAsia" w:eastAsiaTheme="minorEastAsia"/>
          <w:kern w:val="0"/>
          <w:szCs w:val="21"/>
        </w:rPr>
        <w:t>（2）</w:t>
      </w:r>
      <w:r>
        <w:rPr>
          <w:rFonts w:hint="eastAsia" w:asciiTheme="minorEastAsia" w:hAnsiTheme="minorEastAsia" w:eastAsiaTheme="minorEastAsia"/>
          <w:szCs w:val="21"/>
          <w:lang w:val="zh-CN"/>
        </w:rPr>
        <w:t>上一年度财务报告或其他资信证明</w:t>
      </w:r>
      <w:r>
        <w:rPr>
          <w:rFonts w:hint="eastAsia" w:cs="仿宋_GB2312" w:asciiTheme="minorEastAsia" w:hAnsiTheme="minorEastAsia" w:eastAsiaTheme="minorEastAsia"/>
          <w:kern w:val="0"/>
          <w:szCs w:val="21"/>
        </w:rPr>
        <w:t>…………………………………………………（页码）</w:t>
      </w:r>
    </w:p>
    <w:p>
      <w:pPr>
        <w:snapToGrid w:val="0"/>
        <w:spacing w:line="360" w:lineRule="auto"/>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（3）</w:t>
      </w:r>
      <w:r>
        <w:rPr>
          <w:rFonts w:hint="eastAsia" w:asciiTheme="minorEastAsia" w:hAnsiTheme="minorEastAsia" w:eastAsiaTheme="minorEastAsia"/>
          <w:snapToGrid w:val="0"/>
          <w:kern w:val="0"/>
          <w:szCs w:val="21"/>
        </w:rPr>
        <w:t>最近六个月任意一月依法缴纳税收的证明材料</w:t>
      </w:r>
      <w:r>
        <w:rPr>
          <w:rFonts w:hint="eastAsia" w:cs="仿宋_GB2312" w:asciiTheme="minorEastAsia" w:hAnsiTheme="minorEastAsia" w:eastAsiaTheme="minorEastAsia"/>
          <w:kern w:val="0"/>
          <w:szCs w:val="21"/>
        </w:rPr>
        <w:t>……………………………………（页码）</w:t>
      </w:r>
    </w:p>
    <w:p>
      <w:pPr>
        <w:snapToGrid w:val="0"/>
        <w:spacing w:line="360" w:lineRule="auto"/>
        <w:rPr>
          <w:rFonts w:cs="仿宋_GB2312" w:asciiTheme="minorEastAsia" w:hAnsiTheme="minorEastAsia" w:eastAsiaTheme="minorEastAsia"/>
          <w:kern w:val="0"/>
          <w:szCs w:val="21"/>
        </w:rPr>
      </w:pPr>
      <w:r>
        <w:rPr>
          <w:rFonts w:hint="eastAsia" w:asciiTheme="minorEastAsia" w:hAnsiTheme="minorEastAsia" w:eastAsiaTheme="minorEastAsia"/>
          <w:snapToGrid w:val="0"/>
          <w:kern w:val="0"/>
          <w:szCs w:val="21"/>
        </w:rPr>
        <w:t>（4）最近六个月任意一月依法缴社会保障资金的证明材料</w:t>
      </w:r>
      <w:r>
        <w:rPr>
          <w:rFonts w:hint="eastAsia" w:cs="仿宋_GB2312" w:asciiTheme="minorEastAsia" w:hAnsiTheme="minorEastAsia" w:eastAsiaTheme="minorEastAsia"/>
          <w:kern w:val="0"/>
          <w:szCs w:val="21"/>
        </w:rPr>
        <w:t>……………………………（页码）</w:t>
      </w:r>
    </w:p>
    <w:p>
      <w:pPr>
        <w:snapToGrid w:val="0"/>
        <w:spacing w:line="360" w:lineRule="auto"/>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（5）设备和专业技术能力的承诺函………………………………………………………（页码）</w:t>
      </w:r>
    </w:p>
    <w:p>
      <w:pPr>
        <w:snapToGrid w:val="0"/>
        <w:spacing w:line="360"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（6）</w:t>
      </w:r>
      <w:r>
        <w:rPr>
          <w:rFonts w:hint="eastAsia" w:asciiTheme="minorEastAsia" w:hAnsiTheme="minorEastAsia" w:eastAsiaTheme="minorEastAsia"/>
          <w:szCs w:val="21"/>
          <w:lang w:val="zh-CN"/>
        </w:rPr>
        <w:t>参加政府采购</w:t>
      </w:r>
      <w:r>
        <w:rPr>
          <w:rFonts w:hint="eastAsia" w:cs="仿宋_GB2312" w:asciiTheme="minorEastAsia" w:hAnsiTheme="minorEastAsia" w:eastAsiaTheme="minorEastAsia"/>
          <w:szCs w:val="21"/>
        </w:rPr>
        <w:t>活动中没有重大违法记录的声明……………………………</w:t>
      </w:r>
      <w:r>
        <w:rPr>
          <w:rFonts w:hint="eastAsia" w:cs="仿宋_GB2312" w:asciiTheme="minorEastAsia" w:hAnsiTheme="minorEastAsia" w:eastAsiaTheme="minorEastAsia"/>
          <w:kern w:val="0"/>
          <w:szCs w:val="21"/>
        </w:rPr>
        <w:t>…</w:t>
      </w:r>
      <w:r>
        <w:rPr>
          <w:rFonts w:hint="eastAsia" w:cs="仿宋_GB2312" w:asciiTheme="minorEastAsia" w:hAnsiTheme="minorEastAsia" w:eastAsiaTheme="minorEastAsia"/>
          <w:szCs w:val="21"/>
        </w:rPr>
        <w:t>……（页码）</w:t>
      </w:r>
    </w:p>
    <w:p>
      <w:pPr>
        <w:snapToGrid w:val="0"/>
        <w:spacing w:line="360" w:lineRule="auto"/>
        <w:rPr>
          <w:rFonts w:cs="仿宋_GB2312" w:asciiTheme="minorEastAsia" w:hAnsiTheme="minorEastAsia" w:eastAsiaTheme="minorEastAsia"/>
          <w:szCs w:val="21"/>
        </w:rPr>
      </w:pPr>
      <w:r>
        <w:rPr>
          <w:rFonts w:hint="eastAsia" w:asciiTheme="minorEastAsia" w:hAnsiTheme="minorEastAsia" w:eastAsiaTheme="minorEastAsia"/>
          <w:szCs w:val="21"/>
        </w:rPr>
        <w:t>（7）信用记录名单</w:t>
      </w:r>
      <w:r>
        <w:rPr>
          <w:rFonts w:hint="eastAsia" w:asciiTheme="minorEastAsia" w:hAnsiTheme="minorEastAsia" w:eastAsiaTheme="minorEastAsia"/>
          <w:snapToGrid w:val="0"/>
          <w:kern w:val="0"/>
          <w:szCs w:val="21"/>
        </w:rPr>
        <w:t>证明材料</w:t>
      </w:r>
      <w:r>
        <w:rPr>
          <w:rFonts w:hint="eastAsia" w:cs="仿宋_GB2312" w:asciiTheme="minorEastAsia" w:hAnsiTheme="minorEastAsia" w:eastAsiaTheme="minorEastAsia"/>
          <w:szCs w:val="21"/>
        </w:rPr>
        <w:t>………………………………………………………</w:t>
      </w:r>
      <w:r>
        <w:rPr>
          <w:rFonts w:hint="eastAsia" w:cs="仿宋_GB2312" w:asciiTheme="minorEastAsia" w:hAnsiTheme="minorEastAsia" w:eastAsiaTheme="minorEastAsia"/>
          <w:kern w:val="0"/>
          <w:szCs w:val="21"/>
        </w:rPr>
        <w:t>…</w:t>
      </w:r>
      <w:r>
        <w:rPr>
          <w:rFonts w:hint="eastAsia" w:cs="仿宋_GB2312" w:asciiTheme="minorEastAsia" w:hAnsiTheme="minorEastAsia" w:eastAsiaTheme="minorEastAsia"/>
          <w:szCs w:val="21"/>
        </w:rPr>
        <w:t>……（页码）</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Cs w:val="21"/>
        </w:rPr>
        <w:t>（8）符合特定资格条件证明材料（复印件）</w:t>
      </w:r>
      <w:r>
        <w:rPr>
          <w:rFonts w:hint="eastAsia" w:cs="仿宋_GB2312" w:asciiTheme="minorEastAsia" w:hAnsiTheme="minorEastAsia" w:eastAsiaTheme="minorEastAsia"/>
          <w:kern w:val="0"/>
          <w:szCs w:val="21"/>
        </w:rPr>
        <w:t>………………………</w:t>
      </w:r>
      <w:r>
        <w:rPr>
          <w:rFonts w:hint="eastAsia" w:cs="仿宋_GB2312" w:asciiTheme="minorEastAsia" w:hAnsiTheme="minorEastAsia" w:eastAsiaTheme="minorEastAsia"/>
          <w:szCs w:val="21"/>
        </w:rPr>
        <w:t>………</w:t>
      </w:r>
      <w:r>
        <w:rPr>
          <w:rFonts w:hint="eastAsia" w:cs="仿宋_GB2312" w:asciiTheme="minorEastAsia" w:hAnsiTheme="minorEastAsia" w:eastAsiaTheme="minorEastAsia"/>
          <w:kern w:val="0"/>
          <w:szCs w:val="21"/>
        </w:rPr>
        <w:t>…</w:t>
      </w:r>
      <w:r>
        <w:rPr>
          <w:rFonts w:hint="eastAsia" w:cs="仿宋_GB2312" w:asciiTheme="minorEastAsia" w:hAnsiTheme="minorEastAsia" w:eastAsiaTheme="minorEastAsia"/>
          <w:szCs w:val="21"/>
        </w:rPr>
        <w:t>…</w:t>
      </w:r>
      <w:r>
        <w:rPr>
          <w:rFonts w:hint="eastAsia" w:cs="仿宋_GB2312" w:asciiTheme="minorEastAsia" w:hAnsiTheme="minorEastAsia" w:eastAsiaTheme="minorEastAsia"/>
          <w:kern w:val="0"/>
          <w:szCs w:val="21"/>
        </w:rPr>
        <w:t>………（页码）</w:t>
      </w:r>
    </w:p>
    <w:p>
      <w:pPr>
        <w:spacing w:line="360" w:lineRule="auto"/>
        <w:jc w:val="center"/>
        <w:rPr>
          <w:rFonts w:cs="仿宋_GB2312" w:asciiTheme="minorEastAsia" w:hAnsiTheme="minorEastAsia" w:eastAsiaTheme="minorEastAsia"/>
          <w:b/>
          <w:kern w:val="0"/>
          <w:sz w:val="32"/>
          <w:szCs w:val="32"/>
          <w:lang w:val="zh-CN"/>
        </w:rPr>
      </w:pPr>
    </w:p>
    <w:p>
      <w:pPr>
        <w:spacing w:line="360" w:lineRule="auto"/>
        <w:jc w:val="center"/>
        <w:rPr>
          <w:rFonts w:cs="仿宋_GB2312" w:asciiTheme="minorEastAsia" w:hAnsiTheme="minorEastAsia" w:eastAsiaTheme="minorEastAsia"/>
          <w:b/>
          <w:kern w:val="0"/>
          <w:sz w:val="24"/>
          <w:lang w:val="zh-CN"/>
        </w:rPr>
      </w:pPr>
    </w:p>
    <w:p>
      <w:pPr>
        <w:spacing w:line="360" w:lineRule="auto"/>
        <w:jc w:val="center"/>
        <w:rPr>
          <w:rFonts w:cs="仿宋_GB2312" w:asciiTheme="minorEastAsia" w:hAnsiTheme="minorEastAsia" w:eastAsiaTheme="minorEastAsia"/>
          <w:b/>
          <w:kern w:val="0"/>
          <w:sz w:val="24"/>
          <w:lang w:val="zh-CN"/>
        </w:rPr>
      </w:pPr>
    </w:p>
    <w:p>
      <w:pPr>
        <w:spacing w:line="360" w:lineRule="auto"/>
        <w:jc w:val="center"/>
        <w:rPr>
          <w:rFonts w:cs="仿宋_GB2312" w:asciiTheme="minorEastAsia" w:hAnsiTheme="minorEastAsia" w:eastAsiaTheme="minorEastAsia"/>
          <w:b/>
          <w:kern w:val="0"/>
          <w:sz w:val="24"/>
          <w:lang w:val="zh-CN"/>
        </w:rPr>
      </w:pPr>
    </w:p>
    <w:p>
      <w:pPr>
        <w:spacing w:line="360" w:lineRule="auto"/>
        <w:jc w:val="center"/>
        <w:rPr>
          <w:rFonts w:cs="仿宋_GB2312" w:asciiTheme="minorEastAsia" w:hAnsiTheme="minorEastAsia" w:eastAsiaTheme="minorEastAsia"/>
          <w:b/>
          <w:kern w:val="0"/>
          <w:sz w:val="24"/>
          <w:lang w:val="zh-CN"/>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pStyle w:val="2"/>
        <w:rPr>
          <w:color w:val="auto"/>
        </w:rPr>
      </w:pPr>
    </w:p>
    <w:p>
      <w:pPr>
        <w:pStyle w:val="2"/>
        <w:rPr>
          <w:color w:val="auto"/>
        </w:rPr>
      </w:pPr>
    </w:p>
    <w:p>
      <w:pPr>
        <w:pStyle w:val="2"/>
        <w:rPr>
          <w:color w:val="auto"/>
        </w:rPr>
      </w:pPr>
    </w:p>
    <w:p>
      <w:pPr>
        <w:pStyle w:val="2"/>
        <w:rPr>
          <w:color w:val="auto"/>
        </w:rPr>
      </w:pPr>
    </w:p>
    <w:p>
      <w:pPr>
        <w:spacing w:line="360" w:lineRule="auto"/>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1.1有效的法人或者其他组织的营业执照等证明文件（复印件）</w:t>
      </w: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自然人的身份证明（复印件）</w:t>
      </w:r>
    </w:p>
    <w:p>
      <w:pPr>
        <w:spacing w:line="360" w:lineRule="auto"/>
        <w:jc w:val="center"/>
        <w:rPr>
          <w:rFonts w:cs="仿宋_GB2312" w:asciiTheme="minorEastAsia" w:hAnsiTheme="minorEastAsia" w:eastAsiaTheme="minorEastAsia"/>
          <w:b/>
          <w:kern w:val="0"/>
          <w:sz w:val="32"/>
          <w:szCs w:val="32"/>
          <w:lang w:val="zh-CN"/>
        </w:rPr>
      </w:pPr>
    </w:p>
    <w:p>
      <w:pPr>
        <w:spacing w:line="360" w:lineRule="auto"/>
        <w:jc w:val="center"/>
        <w:rPr>
          <w:rFonts w:cs="仿宋_GB2312" w:asciiTheme="minorEastAsia" w:hAnsiTheme="minorEastAsia" w:eastAsiaTheme="minorEastAsia"/>
          <w:b/>
          <w:kern w:val="0"/>
          <w:sz w:val="32"/>
          <w:szCs w:val="32"/>
          <w:lang w:val="zh-CN"/>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rPr>
          <w:rFonts w:asciiTheme="minorEastAsia" w:hAnsiTheme="minorEastAsia" w:eastAsiaTheme="minorEastAsia"/>
          <w:b/>
          <w:spacing w:val="-6"/>
          <w:szCs w:val="21"/>
        </w:rPr>
      </w:pPr>
      <w:r>
        <w:rPr>
          <w:rFonts w:hint="eastAsia" w:asciiTheme="minorEastAsia" w:hAnsiTheme="minorEastAsia" w:eastAsiaTheme="minorEastAsia"/>
          <w:b/>
          <w:spacing w:val="-6"/>
          <w:szCs w:val="21"/>
        </w:rPr>
        <w:t>说明</w:t>
      </w:r>
      <w:r>
        <w:rPr>
          <w:rFonts w:asciiTheme="minorEastAsia" w:hAnsiTheme="minorEastAsia" w:eastAsiaTheme="minorEastAsia"/>
          <w:b/>
          <w:spacing w:val="-6"/>
          <w:szCs w:val="21"/>
        </w:rPr>
        <w:t>：</w:t>
      </w:r>
    </w:p>
    <w:p>
      <w:pPr>
        <w:pStyle w:val="34"/>
        <w:spacing w:line="360" w:lineRule="auto"/>
        <w:ind w:left="398" w:hanging="398"/>
        <w:rPr>
          <w:rFonts w:asciiTheme="minorEastAsia" w:hAnsiTheme="minorEastAsia" w:eastAsiaTheme="minorEastAsia"/>
          <w:b/>
          <w:spacing w:val="-6"/>
          <w:szCs w:val="21"/>
        </w:rPr>
      </w:pPr>
      <w:r>
        <w:rPr>
          <w:rFonts w:hint="eastAsia" w:asciiTheme="minorEastAsia" w:hAnsiTheme="minorEastAsia" w:eastAsiaTheme="minorEastAsia"/>
          <w:b/>
          <w:spacing w:val="-6"/>
          <w:szCs w:val="21"/>
        </w:rPr>
        <w:t>1</w:t>
      </w:r>
      <w:r>
        <w:rPr>
          <w:rFonts w:asciiTheme="minorEastAsia" w:hAnsiTheme="minorEastAsia" w:eastAsiaTheme="minorEastAsia"/>
          <w:b/>
          <w:spacing w:val="-6"/>
          <w:szCs w:val="21"/>
        </w:rPr>
        <w:t>.</w:t>
      </w:r>
      <w:r>
        <w:rPr>
          <w:rFonts w:hint="eastAsia" w:asciiTheme="minorEastAsia" w:hAnsiTheme="minorEastAsia" w:eastAsiaTheme="minorEastAsia"/>
          <w:b/>
          <w:spacing w:val="-6"/>
          <w:szCs w:val="21"/>
        </w:rPr>
        <w:t>如投标人是企业（包括合伙企业），提供在工商部门注册的有效“企业法人营业执照”或“营业执照”；</w:t>
      </w:r>
    </w:p>
    <w:p>
      <w:pPr>
        <w:pStyle w:val="34"/>
        <w:spacing w:line="360" w:lineRule="auto"/>
        <w:ind w:left="398" w:hanging="398"/>
        <w:rPr>
          <w:rFonts w:asciiTheme="minorEastAsia" w:hAnsiTheme="minorEastAsia" w:eastAsiaTheme="minorEastAsia"/>
          <w:b/>
          <w:spacing w:val="-6"/>
          <w:szCs w:val="21"/>
        </w:rPr>
      </w:pPr>
      <w:r>
        <w:rPr>
          <w:rFonts w:hint="eastAsia" w:asciiTheme="minorEastAsia" w:hAnsiTheme="minorEastAsia" w:eastAsiaTheme="minorEastAsia"/>
          <w:b/>
          <w:spacing w:val="-6"/>
          <w:szCs w:val="21"/>
        </w:rPr>
        <w:t>2</w:t>
      </w:r>
      <w:r>
        <w:rPr>
          <w:rFonts w:asciiTheme="minorEastAsia" w:hAnsiTheme="minorEastAsia" w:eastAsiaTheme="minorEastAsia"/>
          <w:b/>
          <w:spacing w:val="-6"/>
          <w:szCs w:val="21"/>
        </w:rPr>
        <w:t>.</w:t>
      </w:r>
      <w:r>
        <w:rPr>
          <w:rFonts w:hint="eastAsia" w:asciiTheme="minorEastAsia" w:hAnsiTheme="minorEastAsia" w:eastAsiaTheme="minorEastAsia"/>
          <w:b/>
          <w:spacing w:val="-6"/>
          <w:szCs w:val="21"/>
        </w:rPr>
        <w:t>如投标人是事业单位，提供有效的“事业单位法人证书”；</w:t>
      </w:r>
    </w:p>
    <w:p>
      <w:pPr>
        <w:pStyle w:val="34"/>
        <w:spacing w:line="360" w:lineRule="auto"/>
        <w:ind w:left="398" w:hanging="398"/>
        <w:rPr>
          <w:rFonts w:asciiTheme="minorEastAsia" w:hAnsiTheme="minorEastAsia" w:eastAsiaTheme="minorEastAsia"/>
          <w:b/>
          <w:spacing w:val="-6"/>
          <w:szCs w:val="21"/>
        </w:rPr>
      </w:pPr>
      <w:r>
        <w:rPr>
          <w:rFonts w:hint="eastAsia" w:asciiTheme="minorEastAsia" w:hAnsiTheme="minorEastAsia" w:eastAsiaTheme="minorEastAsia"/>
          <w:b/>
          <w:spacing w:val="-6"/>
          <w:szCs w:val="21"/>
        </w:rPr>
        <w:t>3</w:t>
      </w:r>
      <w:r>
        <w:rPr>
          <w:rFonts w:asciiTheme="minorEastAsia" w:hAnsiTheme="minorEastAsia" w:eastAsiaTheme="minorEastAsia"/>
          <w:b/>
          <w:spacing w:val="-6"/>
          <w:szCs w:val="21"/>
        </w:rPr>
        <w:t>.</w:t>
      </w:r>
      <w:r>
        <w:rPr>
          <w:rFonts w:hint="eastAsia" w:asciiTheme="minorEastAsia" w:hAnsiTheme="minorEastAsia" w:eastAsiaTheme="minorEastAsia"/>
          <w:b/>
          <w:spacing w:val="-6"/>
          <w:szCs w:val="21"/>
        </w:rPr>
        <w:t>如投标人是非企业专业服务机构的，提供执业许可证等证明文件；</w:t>
      </w:r>
    </w:p>
    <w:p>
      <w:pPr>
        <w:pStyle w:val="34"/>
        <w:spacing w:line="360" w:lineRule="auto"/>
        <w:ind w:left="398" w:hanging="398"/>
        <w:rPr>
          <w:rFonts w:asciiTheme="minorEastAsia" w:hAnsiTheme="minorEastAsia" w:eastAsiaTheme="minorEastAsia"/>
          <w:b/>
          <w:spacing w:val="-6"/>
          <w:szCs w:val="21"/>
        </w:rPr>
      </w:pPr>
      <w:r>
        <w:rPr>
          <w:rFonts w:hint="eastAsia" w:asciiTheme="minorEastAsia" w:hAnsiTheme="minorEastAsia" w:eastAsiaTheme="minorEastAsia"/>
          <w:b/>
          <w:spacing w:val="-6"/>
          <w:szCs w:val="21"/>
        </w:rPr>
        <w:t>4</w:t>
      </w:r>
      <w:r>
        <w:rPr>
          <w:rFonts w:asciiTheme="minorEastAsia" w:hAnsiTheme="minorEastAsia" w:eastAsiaTheme="minorEastAsia"/>
          <w:b/>
          <w:spacing w:val="-6"/>
          <w:szCs w:val="21"/>
        </w:rPr>
        <w:t>.</w:t>
      </w:r>
      <w:r>
        <w:rPr>
          <w:rFonts w:hint="eastAsia" w:asciiTheme="minorEastAsia" w:hAnsiTheme="minorEastAsia" w:eastAsiaTheme="minorEastAsia"/>
          <w:b/>
          <w:spacing w:val="-6"/>
          <w:szCs w:val="21"/>
        </w:rPr>
        <w:t>如投标人是个体工商户，提供有效的“个体工商户营业执照”；</w:t>
      </w:r>
    </w:p>
    <w:p>
      <w:pPr>
        <w:pStyle w:val="34"/>
        <w:spacing w:line="360" w:lineRule="auto"/>
        <w:ind w:left="398" w:hanging="398"/>
        <w:rPr>
          <w:rFonts w:asciiTheme="minorEastAsia" w:hAnsiTheme="minorEastAsia" w:eastAsiaTheme="minorEastAsia"/>
          <w:b/>
          <w:spacing w:val="-6"/>
          <w:szCs w:val="21"/>
        </w:rPr>
      </w:pPr>
      <w:r>
        <w:rPr>
          <w:rFonts w:hint="eastAsia" w:asciiTheme="minorEastAsia" w:hAnsiTheme="minorEastAsia" w:eastAsiaTheme="minorEastAsia"/>
          <w:b/>
          <w:spacing w:val="-6"/>
          <w:szCs w:val="21"/>
        </w:rPr>
        <w:t>5</w:t>
      </w:r>
      <w:r>
        <w:rPr>
          <w:rFonts w:asciiTheme="minorEastAsia" w:hAnsiTheme="minorEastAsia" w:eastAsiaTheme="minorEastAsia"/>
          <w:b/>
          <w:spacing w:val="-6"/>
          <w:szCs w:val="21"/>
        </w:rPr>
        <w:t>.</w:t>
      </w:r>
      <w:r>
        <w:rPr>
          <w:rFonts w:hint="eastAsia" w:asciiTheme="minorEastAsia" w:hAnsiTheme="minorEastAsia" w:eastAsiaTheme="minorEastAsia"/>
          <w:b/>
          <w:spacing w:val="-6"/>
          <w:szCs w:val="21"/>
        </w:rPr>
        <w:t>如投标人是自然人，提供有效的自然人身份证明。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p>
    <w:p>
      <w:pPr>
        <w:adjustRightInd w:val="0"/>
        <w:snapToGrid w:val="0"/>
        <w:spacing w:line="360" w:lineRule="auto"/>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1.2提供上一年度经第三方审计的财务报告其基本开户银行出具的资信证明或财政</w:t>
      </w: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部门认可的采购专业担保机构出具的投标担保函；（复印件）</w:t>
      </w:r>
    </w:p>
    <w:p>
      <w:pPr>
        <w:spacing w:line="360" w:lineRule="auto"/>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pStyle w:val="20"/>
        <w:ind w:firstLine="0"/>
        <w:rPr>
          <w:rFonts w:asciiTheme="minorEastAsia" w:hAnsiTheme="minorEastAsia" w:eastAsiaTheme="minorEastAsia"/>
          <w:b/>
          <w:spacing w:val="-6"/>
          <w:sz w:val="21"/>
          <w:szCs w:val="21"/>
        </w:rPr>
      </w:pPr>
      <w:r>
        <w:rPr>
          <w:rFonts w:hint="eastAsia" w:cs="宋体" w:asciiTheme="minorEastAsia" w:hAnsiTheme="minorEastAsia" w:eastAsiaTheme="minorEastAsia"/>
          <w:b/>
          <w:spacing w:val="-6"/>
          <w:sz w:val="21"/>
          <w:szCs w:val="21"/>
        </w:rPr>
        <w:t>说明：</w:t>
      </w:r>
    </w:p>
    <w:p>
      <w:pPr>
        <w:pStyle w:val="20"/>
        <w:ind w:firstLine="0"/>
        <w:rPr>
          <w:rFonts w:asciiTheme="minorEastAsia" w:hAnsiTheme="minorEastAsia" w:eastAsiaTheme="minorEastAsia"/>
          <w:b/>
          <w:spacing w:val="-6"/>
          <w:sz w:val="21"/>
          <w:szCs w:val="21"/>
        </w:rPr>
      </w:pPr>
      <w:r>
        <w:rPr>
          <w:rFonts w:hint="eastAsia" w:asciiTheme="minorEastAsia" w:hAnsiTheme="minorEastAsia" w:eastAsiaTheme="minorEastAsia"/>
          <w:b/>
          <w:spacing w:val="-6"/>
          <w:sz w:val="21"/>
          <w:szCs w:val="21"/>
        </w:rPr>
        <w:t>1.</w:t>
      </w:r>
      <w:r>
        <w:rPr>
          <w:rFonts w:hint="eastAsia" w:cs="宋体" w:asciiTheme="minorEastAsia" w:hAnsiTheme="minorEastAsia" w:eastAsiaTheme="minorEastAsia"/>
          <w:b/>
          <w:spacing w:val="-6"/>
          <w:sz w:val="21"/>
          <w:szCs w:val="21"/>
        </w:rPr>
        <w:t>供应商是法人的，应提供经审计的财务报告，包括</w:t>
      </w:r>
      <w:r>
        <w:rPr>
          <w:rFonts w:cs="Century Gothic"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四表一注</w:t>
      </w:r>
      <w:r>
        <w:rPr>
          <w:rFonts w:cs="Century Gothic"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，即资产负债表、利润表、现金流量表、所有者权益变动表及其附注</w:t>
      </w:r>
      <w:r>
        <w:rPr>
          <w:rFonts w:hint="eastAsia"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执行《小企业会计准则》的可不提供</w:t>
      </w:r>
      <w:r>
        <w:rPr>
          <w:rFonts w:cs="Century Gothic"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所有者权益变动表</w:t>
      </w:r>
      <w:r>
        <w:rPr>
          <w:rFonts w:cs="Century Gothic" w:asciiTheme="minorEastAsia" w:hAnsiTheme="minorEastAsia" w:eastAsiaTheme="minorEastAsia"/>
          <w:b/>
          <w:spacing w:val="-6"/>
          <w:sz w:val="21"/>
          <w:szCs w:val="21"/>
        </w:rPr>
        <w:t>”</w:t>
      </w:r>
      <w:r>
        <w:rPr>
          <w:rFonts w:hint="eastAsia"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，或其基本开户银行出具的资信证明（若资信证明中注明复印无效，需提交正本），并加盖公章；</w:t>
      </w:r>
    </w:p>
    <w:p>
      <w:pPr>
        <w:pStyle w:val="20"/>
        <w:ind w:firstLine="0"/>
        <w:rPr>
          <w:rFonts w:asciiTheme="minorEastAsia" w:hAnsiTheme="minorEastAsia" w:eastAsiaTheme="minorEastAsia"/>
          <w:b/>
          <w:spacing w:val="-6"/>
          <w:sz w:val="21"/>
          <w:szCs w:val="21"/>
        </w:rPr>
      </w:pPr>
    </w:p>
    <w:p>
      <w:pPr>
        <w:pStyle w:val="20"/>
        <w:ind w:firstLine="0"/>
        <w:rPr>
          <w:rFonts w:asciiTheme="minorEastAsia" w:hAnsiTheme="minorEastAsia" w:eastAsiaTheme="minorEastAsia"/>
          <w:b/>
          <w:spacing w:val="-6"/>
          <w:sz w:val="21"/>
          <w:szCs w:val="21"/>
        </w:rPr>
      </w:pPr>
      <w:r>
        <w:rPr>
          <w:rFonts w:hint="eastAsia" w:asciiTheme="minorEastAsia" w:hAnsiTheme="minorEastAsia" w:eastAsiaTheme="minorEastAsia"/>
          <w:b/>
          <w:spacing w:val="-6"/>
          <w:sz w:val="21"/>
          <w:szCs w:val="21"/>
        </w:rPr>
        <w:t>2.</w:t>
      </w:r>
      <w:r>
        <w:rPr>
          <w:rFonts w:hint="eastAsia" w:cs="宋体" w:asciiTheme="minorEastAsia" w:hAnsiTheme="minorEastAsia" w:eastAsiaTheme="minorEastAsia"/>
          <w:b/>
          <w:spacing w:val="-6"/>
          <w:sz w:val="21"/>
          <w:szCs w:val="21"/>
        </w:rPr>
        <w:t>部分其他组织和自然人，没有经审计的财务报告，可以提供银行出具的资信证明</w:t>
      </w:r>
      <w:r>
        <w:rPr>
          <w:rFonts w:hint="eastAsia"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若资信证明中注明复印无效，需提交正本</w:t>
      </w:r>
      <w:r>
        <w:rPr>
          <w:rFonts w:hint="eastAsia" w:asciiTheme="minorEastAsia" w:hAnsiTheme="minorEastAsia" w:eastAsiaTheme="minorEastAsia"/>
          <w:b/>
          <w:spacing w:val="-6"/>
          <w:sz w:val="21"/>
          <w:szCs w:val="21"/>
        </w:rPr>
        <w:t>),</w:t>
      </w:r>
      <w:r>
        <w:rPr>
          <w:rFonts w:hint="eastAsia" w:cs="宋体" w:asciiTheme="minorEastAsia" w:hAnsiTheme="minorEastAsia" w:eastAsiaTheme="minorEastAsia"/>
          <w:b/>
          <w:spacing w:val="-6"/>
          <w:sz w:val="21"/>
          <w:szCs w:val="21"/>
        </w:rPr>
        <w:t>并加盖公章；</w:t>
      </w:r>
    </w:p>
    <w:p>
      <w:pPr>
        <w:pStyle w:val="20"/>
        <w:ind w:firstLine="0"/>
        <w:rPr>
          <w:rFonts w:asciiTheme="minorEastAsia" w:hAnsiTheme="minorEastAsia" w:eastAsiaTheme="minorEastAsia"/>
          <w:b/>
          <w:spacing w:val="-6"/>
          <w:sz w:val="21"/>
          <w:szCs w:val="21"/>
        </w:rPr>
      </w:pPr>
    </w:p>
    <w:p>
      <w:pPr>
        <w:pStyle w:val="20"/>
        <w:ind w:firstLine="0"/>
        <w:rPr>
          <w:rFonts w:asciiTheme="minorEastAsia" w:hAnsiTheme="minorEastAsia" w:eastAsiaTheme="minorEastAsia"/>
          <w:b/>
          <w:spacing w:val="-6"/>
          <w:sz w:val="21"/>
          <w:szCs w:val="21"/>
        </w:rPr>
      </w:pPr>
      <w:r>
        <w:rPr>
          <w:rFonts w:hint="eastAsia" w:asciiTheme="minorEastAsia" w:hAnsiTheme="minorEastAsia" w:eastAsiaTheme="minorEastAsia"/>
          <w:b/>
          <w:spacing w:val="-6"/>
          <w:sz w:val="21"/>
          <w:szCs w:val="21"/>
        </w:rPr>
        <w:t>3.</w:t>
      </w:r>
      <w:r>
        <w:rPr>
          <w:rFonts w:hint="eastAsia" w:cs="宋体" w:asciiTheme="minorEastAsia" w:hAnsiTheme="minorEastAsia" w:eastAsiaTheme="minorEastAsia"/>
          <w:b/>
          <w:spacing w:val="-6"/>
          <w:sz w:val="21"/>
          <w:szCs w:val="21"/>
        </w:rPr>
        <w:t>银行资信证明应能说明投标人与银行之间业务往来正常，企业信誉良好等，银行出具的存款证明不能替代银行资信证明。</w:t>
      </w: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rPr>
          <w:rFonts w:cs="仿宋_GB2312" w:asciiTheme="minorEastAsia" w:hAnsiTheme="minorEastAsia" w:eastAsiaTheme="minorEastAsia"/>
          <w:b/>
          <w:sz w:val="24"/>
        </w:rPr>
      </w:pPr>
    </w:p>
    <w:p>
      <w:pPr>
        <w:snapToGrid w:val="0"/>
        <w:spacing w:line="360" w:lineRule="auto"/>
        <w:ind w:right="480"/>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rPr>
          <w:rFonts w:cs="仿宋_GB2312" w:asciiTheme="minorEastAsia" w:hAnsiTheme="minorEastAsia" w:eastAsiaTheme="minorEastAsia"/>
          <w:b/>
          <w:sz w:val="24"/>
        </w:rPr>
      </w:pPr>
    </w:p>
    <w:p>
      <w:pPr>
        <w:snapToGrid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1.3最近六个月任意一月依法缴纳税收的证明材料（完税证明或</w:t>
      </w:r>
      <w:r>
        <w:rPr>
          <w:rFonts w:cs="仿宋_GB2312" w:asciiTheme="minorEastAsia" w:hAnsiTheme="minorEastAsia" w:eastAsiaTheme="minorEastAsia"/>
          <w:b/>
          <w:sz w:val="24"/>
        </w:rPr>
        <w:t>纳税证明</w:t>
      </w:r>
      <w:r>
        <w:rPr>
          <w:rFonts w:hint="eastAsia" w:cs="仿宋_GB2312" w:asciiTheme="minorEastAsia" w:hAnsiTheme="minorEastAsia" w:eastAsiaTheme="minorEastAsia"/>
          <w:b/>
          <w:sz w:val="24"/>
        </w:rPr>
        <w:t>或银行电子缴税付款凭证等）</w:t>
      </w: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1.4最近六个月任意一月依法缴社会保障资金的证明材料社保缴费专用收据或银行电子缴税付款凭证或社会保险缴纳清单等</w:t>
      </w: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p>
    <w:p>
      <w:pPr>
        <w:snapToGrid w:val="0"/>
        <w:spacing w:line="360" w:lineRule="auto"/>
        <w:ind w:right="480"/>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1.5具有履行合同所必需的设备和专业技术能力的承诺函</w:t>
      </w:r>
    </w:p>
    <w:p>
      <w:pPr>
        <w:spacing w:line="360" w:lineRule="auto"/>
        <w:jc w:val="center"/>
        <w:rPr>
          <w:rFonts w:cs="仿宋_GB2312" w:asciiTheme="minorEastAsia" w:hAnsiTheme="minorEastAsia" w:eastAsiaTheme="minorEastAsia"/>
          <w:b/>
          <w:sz w:val="24"/>
        </w:rPr>
      </w:pPr>
    </w:p>
    <w:p>
      <w:pPr>
        <w:rPr>
          <w:rFonts w:asciiTheme="minorEastAsia" w:hAnsiTheme="minorEastAsia" w:eastAsiaTheme="minorEastAsia"/>
        </w:rPr>
      </w:pPr>
      <w:r>
        <w:rPr>
          <w:rFonts w:hint="eastAsia" w:asciiTheme="minorEastAsia" w:hAnsiTheme="minorEastAsia" w:eastAsiaTheme="minorEastAsia"/>
        </w:rPr>
        <w:t>致：杭州市水文水资源监测总站、浙江中诺招标代理有限公司</w:t>
      </w:r>
    </w:p>
    <w:p>
      <w:pPr>
        <w:rPr>
          <w:rFonts w:asciiTheme="minorEastAsia" w:hAnsiTheme="minorEastAsia" w:eastAsiaTheme="minorEastAsia"/>
        </w:rPr>
      </w:pPr>
    </w:p>
    <w:p>
      <w:pPr>
        <w:rPr>
          <w:rFonts w:asciiTheme="minorEastAsia" w:hAnsiTheme="minorEastAsia" w:eastAsiaTheme="minorEastAsia"/>
        </w:rPr>
      </w:pPr>
    </w:p>
    <w:p>
      <w:pPr>
        <w:spacing w:line="276" w:lineRule="auto"/>
        <w:rPr>
          <w:rFonts w:asciiTheme="minorEastAsia" w:hAnsiTheme="minorEastAsia" w:eastAsiaTheme="minorEastAsia"/>
          <w:u w:val="single"/>
        </w:rPr>
      </w:pPr>
      <w:r>
        <w:rPr>
          <w:rFonts w:hint="eastAsia" w:asciiTheme="minorEastAsia" w:hAnsiTheme="minorEastAsia" w:eastAsiaTheme="minorEastAsia"/>
        </w:rPr>
        <w:t>本公司（公司名称）参加</w:t>
      </w:r>
    </w:p>
    <w:p>
      <w:pPr>
        <w:spacing w:line="276" w:lineRule="auto"/>
        <w:rPr>
          <w:rFonts w:asciiTheme="minorEastAsia" w:hAnsiTheme="minorEastAsia" w:eastAsiaTheme="minorEastAsia"/>
        </w:rPr>
      </w:pPr>
      <w:r>
        <w:rPr>
          <w:rFonts w:hint="eastAsia" w:asciiTheme="minorEastAsia" w:hAnsiTheme="minorEastAsia" w:eastAsiaTheme="minorEastAsia"/>
        </w:rPr>
        <w:t>（招标编号：）的投标活动，现承诺：</w:t>
      </w:r>
    </w:p>
    <w:p>
      <w:pPr>
        <w:spacing w:line="276" w:lineRule="auto"/>
        <w:rPr>
          <w:rFonts w:asciiTheme="minorEastAsia" w:hAnsiTheme="minorEastAsia" w:eastAsiaTheme="minorEastAsia"/>
        </w:rPr>
      </w:pPr>
    </w:p>
    <w:p>
      <w:pPr>
        <w:spacing w:line="276" w:lineRule="auto"/>
        <w:rPr>
          <w:rFonts w:asciiTheme="minorEastAsia" w:hAnsiTheme="minorEastAsia" w:eastAsiaTheme="minorEastAsia"/>
        </w:rPr>
      </w:pPr>
      <w:r>
        <w:rPr>
          <w:rFonts w:hint="eastAsia" w:asciiTheme="minorEastAsia" w:hAnsiTheme="minorEastAsia" w:eastAsiaTheme="minorEastAsia"/>
        </w:rPr>
        <w:t>我公司满足政府采购法第二十二条关于供应商的资格要求：</w:t>
      </w:r>
    </w:p>
    <w:p>
      <w:pPr>
        <w:rPr>
          <w:rFonts w:asciiTheme="minorEastAsia" w:hAnsiTheme="minorEastAsia" w:eastAsiaTheme="minorEastAsia"/>
        </w:rPr>
      </w:pPr>
    </w:p>
    <w:p>
      <w:pPr>
        <w:rPr>
          <w:rFonts w:asciiTheme="minorEastAsia" w:hAnsiTheme="minorEastAsia" w:eastAsiaTheme="minorEastAsia"/>
        </w:rPr>
      </w:pPr>
    </w:p>
    <w:p>
      <w:pPr>
        <w:numPr>
          <w:ilvl w:val="0"/>
          <w:numId w:val="4"/>
        </w:numPr>
        <w:rPr>
          <w:rFonts w:asciiTheme="minorEastAsia" w:hAnsiTheme="minorEastAsia" w:eastAsiaTheme="minorEastAsia"/>
        </w:rPr>
      </w:pPr>
      <w:r>
        <w:rPr>
          <w:rFonts w:hint="eastAsia" w:asciiTheme="minorEastAsia" w:hAnsiTheme="minorEastAsia" w:eastAsiaTheme="minorEastAsia"/>
        </w:rPr>
        <w:t>具有独立承担民事责任的能力；</w:t>
      </w:r>
    </w:p>
    <w:p>
      <w:pPr>
        <w:rPr>
          <w:rFonts w:asciiTheme="minorEastAsia" w:hAnsiTheme="minorEastAsia" w:eastAsiaTheme="minorEastAsia"/>
        </w:rPr>
      </w:pPr>
    </w:p>
    <w:p>
      <w:pPr>
        <w:rPr>
          <w:rFonts w:asciiTheme="minorEastAsia" w:hAnsiTheme="minorEastAsia" w:eastAsiaTheme="minorEastAsia"/>
        </w:rPr>
      </w:pPr>
    </w:p>
    <w:p>
      <w:pPr>
        <w:numPr>
          <w:ilvl w:val="0"/>
          <w:numId w:val="4"/>
        </w:numPr>
        <w:rPr>
          <w:rFonts w:asciiTheme="minorEastAsia" w:hAnsiTheme="minorEastAsia" w:eastAsiaTheme="minorEastAsia"/>
        </w:rPr>
      </w:pPr>
      <w:r>
        <w:rPr>
          <w:rFonts w:hint="eastAsia" w:asciiTheme="minorEastAsia" w:hAnsiTheme="minorEastAsia" w:eastAsiaTheme="minorEastAsia"/>
        </w:rPr>
        <w:t>具有良好的商业信誉和健全的财务会计制度；</w:t>
      </w:r>
    </w:p>
    <w:p>
      <w:pPr>
        <w:rPr>
          <w:rFonts w:asciiTheme="minorEastAsia" w:hAnsiTheme="minorEastAsia" w:eastAsiaTheme="minorEastAsia"/>
        </w:rPr>
      </w:pPr>
    </w:p>
    <w:p>
      <w:pPr>
        <w:rPr>
          <w:rFonts w:asciiTheme="minorEastAsia" w:hAnsiTheme="minorEastAsia" w:eastAsiaTheme="minorEastAsia"/>
        </w:rPr>
      </w:pPr>
    </w:p>
    <w:p>
      <w:pPr>
        <w:numPr>
          <w:ilvl w:val="0"/>
          <w:numId w:val="4"/>
        </w:numPr>
        <w:rPr>
          <w:rFonts w:asciiTheme="minorEastAsia" w:hAnsiTheme="minorEastAsia" w:eastAsiaTheme="minorEastAsia"/>
        </w:rPr>
      </w:pPr>
      <w:r>
        <w:rPr>
          <w:rFonts w:hint="eastAsia" w:asciiTheme="minorEastAsia" w:hAnsiTheme="minorEastAsia" w:eastAsiaTheme="minorEastAsia"/>
        </w:rPr>
        <w:t>具有履行合同所需的设备和专业技术能力；</w:t>
      </w:r>
    </w:p>
    <w:p>
      <w:pPr>
        <w:rPr>
          <w:rFonts w:asciiTheme="minorEastAsia" w:hAnsiTheme="minorEastAsia" w:eastAsiaTheme="minorEastAsia"/>
        </w:rPr>
      </w:pPr>
    </w:p>
    <w:p>
      <w:pPr>
        <w:rPr>
          <w:rFonts w:asciiTheme="minorEastAsia" w:hAnsiTheme="minorEastAsia" w:eastAsiaTheme="minorEastAsia"/>
        </w:rPr>
      </w:pPr>
    </w:p>
    <w:p>
      <w:pPr>
        <w:numPr>
          <w:ilvl w:val="0"/>
          <w:numId w:val="4"/>
        </w:numPr>
        <w:rPr>
          <w:rFonts w:asciiTheme="minorEastAsia" w:hAnsiTheme="minorEastAsia" w:eastAsiaTheme="minorEastAsia"/>
        </w:rPr>
      </w:pPr>
      <w:r>
        <w:rPr>
          <w:rFonts w:hint="eastAsia" w:asciiTheme="minorEastAsia" w:hAnsiTheme="minorEastAsia" w:eastAsiaTheme="minorEastAsia"/>
        </w:rPr>
        <w:t>由依法缴纳税收和社会保障资金的良好记录；</w:t>
      </w:r>
    </w:p>
    <w:p>
      <w:pPr>
        <w:rPr>
          <w:rFonts w:asciiTheme="minorEastAsia" w:hAnsiTheme="minorEastAsia" w:eastAsiaTheme="minorEastAsia"/>
        </w:rPr>
      </w:pPr>
    </w:p>
    <w:p>
      <w:pPr>
        <w:rPr>
          <w:rFonts w:asciiTheme="minorEastAsia" w:hAnsiTheme="minorEastAsia" w:eastAsiaTheme="minorEastAsia"/>
        </w:rPr>
      </w:pPr>
    </w:p>
    <w:p>
      <w:pPr>
        <w:numPr>
          <w:ilvl w:val="0"/>
          <w:numId w:val="4"/>
        </w:numPr>
        <w:rPr>
          <w:rFonts w:asciiTheme="minorEastAsia" w:hAnsiTheme="minorEastAsia" w:eastAsiaTheme="minorEastAsia"/>
        </w:rPr>
      </w:pPr>
      <w:r>
        <w:rPr>
          <w:rFonts w:hint="eastAsia" w:asciiTheme="minorEastAsia" w:hAnsiTheme="minorEastAsia" w:eastAsiaTheme="minorEastAsia"/>
        </w:rPr>
        <w:t>参加政府采购活动前后三年内，在经营活动中没有重大违法记录；</w:t>
      </w:r>
    </w:p>
    <w:p>
      <w:pPr>
        <w:rPr>
          <w:rFonts w:asciiTheme="minorEastAsia" w:hAnsiTheme="minorEastAsia" w:eastAsiaTheme="minorEastAsia"/>
        </w:rPr>
      </w:pPr>
    </w:p>
    <w:p>
      <w:pPr>
        <w:rPr>
          <w:rFonts w:asciiTheme="minorEastAsia" w:hAnsiTheme="minorEastAsia" w:eastAsiaTheme="minorEastAsia"/>
        </w:rPr>
      </w:pPr>
    </w:p>
    <w:p>
      <w:pPr>
        <w:numPr>
          <w:ilvl w:val="0"/>
          <w:numId w:val="4"/>
        </w:numPr>
        <w:rPr>
          <w:rFonts w:asciiTheme="minorEastAsia" w:hAnsiTheme="minorEastAsia" w:eastAsiaTheme="minorEastAsia"/>
        </w:rPr>
      </w:pPr>
      <w:r>
        <w:rPr>
          <w:rFonts w:hint="eastAsia" w:asciiTheme="minorEastAsia" w:hAnsiTheme="minorEastAsia" w:eastAsiaTheme="minorEastAsia"/>
        </w:rPr>
        <w:t>法律、行政法规规定的其他条件。</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如违反以上承诺，本公司愿承担一切法律责任。</w:t>
      </w: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投标人名称：（盖章）</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法定代表人或授权代表（签字）：</w:t>
      </w:r>
    </w:p>
    <w:p>
      <w:pPr>
        <w:rPr>
          <w:rFonts w:asciiTheme="minorEastAsia" w:hAnsiTheme="minorEastAsia" w:eastAsiaTheme="minorEastAsia"/>
        </w:rPr>
      </w:pPr>
    </w:p>
    <w:p>
      <w:pPr>
        <w:rPr>
          <w:rFonts w:asciiTheme="minorEastAsia" w:hAnsiTheme="minorEastAsia" w:eastAsiaTheme="minorEastAsia"/>
        </w:rPr>
      </w:pPr>
      <w:r>
        <w:rPr>
          <w:rFonts w:hint="eastAsia" w:asciiTheme="minorEastAsia" w:hAnsiTheme="minorEastAsia" w:eastAsiaTheme="minorEastAsia"/>
        </w:rPr>
        <w:t>投标日期：年月日</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1.6参加政府采购活动前三年内，在经营活动中没有重大违法记录的声明</w:t>
      </w: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杭州市水文水资源监测总站、浙江中诺招标代理有限公司：</w:t>
      </w:r>
    </w:p>
    <w:p>
      <w:pPr>
        <w:spacing w:line="360" w:lineRule="auto"/>
        <w:ind w:firstLine="480" w:firstLineChars="200"/>
        <w:rPr>
          <w:rFonts w:cs="仿宋_GB2312" w:asciiTheme="minorEastAsia" w:hAnsiTheme="minorEastAsia" w:eastAsiaTheme="minorEastAsia"/>
          <w:sz w:val="24"/>
          <w:szCs w:val="20"/>
        </w:rPr>
      </w:pPr>
      <w:r>
        <w:rPr>
          <w:rFonts w:hint="eastAsia" w:cs="仿宋_GB2312" w:asciiTheme="minorEastAsia" w:hAnsiTheme="minorEastAsia" w:eastAsiaTheme="minorEastAsia"/>
          <w:kern w:val="0"/>
          <w:sz w:val="24"/>
          <w:lang w:val="zh-CN"/>
        </w:rPr>
        <w:t>我公司</w:t>
      </w:r>
      <w:r>
        <w:rPr>
          <w:rFonts w:hint="eastAsia" w:cs="仿宋_GB2312" w:asciiTheme="minorEastAsia" w:hAnsiTheme="minorEastAsia" w:eastAsiaTheme="minorEastAsia"/>
          <w:sz w:val="24"/>
        </w:rPr>
        <w:t>声明截止投标时间近三年以来，在</w:t>
      </w:r>
      <w:r>
        <w:rPr>
          <w:rFonts w:hint="eastAsia" w:cs="仿宋_GB2312" w:asciiTheme="minorEastAsia" w:hAnsiTheme="minorEastAsia" w:eastAsiaTheme="minorEastAsia"/>
          <w:kern w:val="0"/>
          <w:sz w:val="24"/>
        </w:rPr>
        <w:t>经营活动中</w:t>
      </w:r>
      <w:r>
        <w:rPr>
          <w:rFonts w:hint="eastAsia" w:cs="仿宋_GB2312" w:asciiTheme="minorEastAsia" w:hAnsiTheme="minorEastAsia" w:eastAsiaTheme="minorEastAsia"/>
          <w:sz w:val="24"/>
        </w:rPr>
        <w:t>没有重大违法记录；也</w:t>
      </w:r>
      <w:r>
        <w:rPr>
          <w:rFonts w:hint="eastAsia" w:cs="仿宋_GB2312" w:asciiTheme="minorEastAsia" w:hAnsiTheme="minorEastAsia" w:eastAsiaTheme="minorEastAsia"/>
          <w:sz w:val="24"/>
          <w:szCs w:val="20"/>
        </w:rPr>
        <w:t xml:space="preserve">没有因违反《浙江省政府采购供应商注册及诚信管理暂行办法》被列入“黑名单”，正在处罚有效期”。 </w:t>
      </w:r>
    </w:p>
    <w:p>
      <w:pPr>
        <w:spacing w:line="360" w:lineRule="auto"/>
        <w:ind w:firstLine="480" w:firstLineChars="200"/>
        <w:rPr>
          <w:rFonts w:cs="仿宋_GB2312" w:asciiTheme="minorEastAsia" w:hAnsiTheme="minorEastAsia" w:eastAsiaTheme="minorEastAsia"/>
          <w:sz w:val="24"/>
          <w:szCs w:val="20"/>
        </w:rPr>
      </w:pPr>
    </w:p>
    <w:p>
      <w:pPr>
        <w:spacing w:line="360" w:lineRule="auto"/>
        <w:ind w:firstLine="480" w:firstLineChars="200"/>
        <w:rPr>
          <w:rFonts w:cs="仿宋_GB2312" w:asciiTheme="minorEastAsia" w:hAnsiTheme="minorEastAsia" w:eastAsiaTheme="minorEastAsia"/>
          <w:sz w:val="24"/>
          <w:szCs w:val="20"/>
        </w:rPr>
      </w:pPr>
    </w:p>
    <w:p>
      <w:pPr>
        <w:spacing w:line="360" w:lineRule="auto"/>
        <w:ind w:firstLine="480" w:firstLineChars="200"/>
        <w:rPr>
          <w:rFonts w:cs="仿宋_GB2312" w:asciiTheme="minorEastAsia" w:hAnsiTheme="minorEastAsia" w:eastAsiaTheme="minorEastAsia"/>
          <w:sz w:val="24"/>
          <w:szCs w:val="20"/>
        </w:rPr>
      </w:pPr>
    </w:p>
    <w:p>
      <w:pPr>
        <w:spacing w:line="360" w:lineRule="auto"/>
        <w:ind w:firstLine="480" w:firstLineChars="200"/>
        <w:rPr>
          <w:rFonts w:cs="仿宋_GB2312" w:asciiTheme="minorEastAsia" w:hAnsiTheme="minorEastAsia" w:eastAsiaTheme="minorEastAsia"/>
          <w:sz w:val="24"/>
          <w:szCs w:val="20"/>
        </w:rPr>
      </w:pP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投标人名称(公章)：</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法定代表人或其授权代表(签字)：</w:t>
      </w: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月日</w:t>
      </w: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p>
    <w:p>
      <w:pPr>
        <w:adjustRightInd w:val="0"/>
        <w:snapToGrid w:val="0"/>
        <w:spacing w:line="360" w:lineRule="auto"/>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24"/>
        </w:rPr>
      </w:pPr>
    </w:p>
    <w:p>
      <w:pPr>
        <w:adjustRightInd w:val="0"/>
        <w:snapToGrid w:val="0"/>
        <w:spacing w:line="360" w:lineRule="auto"/>
        <w:jc w:val="center"/>
        <w:rPr>
          <w:rFonts w:cs="仿宋_GB2312" w:asciiTheme="minorEastAsia" w:hAnsiTheme="minorEastAsia" w:eastAsiaTheme="minorEastAsia"/>
          <w:sz w:val="24"/>
        </w:rPr>
      </w:pPr>
    </w:p>
    <w:p>
      <w:pPr>
        <w:adjustRightInd w:val="0"/>
        <w:snapToGrid w:val="0"/>
        <w:spacing w:line="360" w:lineRule="auto"/>
        <w:jc w:val="center"/>
        <w:rPr>
          <w:rFonts w:cs="仿宋_GB2312" w:asciiTheme="minorEastAsia" w:hAnsiTheme="minorEastAsia" w:eastAsiaTheme="minorEastAsia"/>
          <w:sz w:val="24"/>
        </w:rPr>
      </w:pPr>
    </w:p>
    <w:p>
      <w:pPr>
        <w:adjustRightInd w:val="0"/>
        <w:snapToGrid w:val="0"/>
        <w:spacing w:line="360" w:lineRule="auto"/>
        <w:jc w:val="center"/>
        <w:rPr>
          <w:rFonts w:cs="仿宋_GB2312" w:asciiTheme="minorEastAsia" w:hAnsiTheme="minorEastAsia" w:eastAsiaTheme="minorEastAsia"/>
          <w:sz w:val="24"/>
        </w:rPr>
      </w:pPr>
    </w:p>
    <w:p>
      <w:pPr>
        <w:adjustRightInd w:val="0"/>
        <w:snapToGrid w:val="0"/>
        <w:spacing w:line="360" w:lineRule="auto"/>
        <w:jc w:val="center"/>
        <w:rPr>
          <w:rFonts w:cs="仿宋_GB2312" w:asciiTheme="minorEastAsia" w:hAnsiTheme="minorEastAsia" w:eastAsiaTheme="minorEastAsia"/>
          <w:sz w:val="24"/>
        </w:rPr>
      </w:pPr>
    </w:p>
    <w:p>
      <w:pPr>
        <w:adjustRightInd w:val="0"/>
        <w:snapToGrid w:val="0"/>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1.7投标截止前未被信用中国网站(www.creditchina.gov.cn)列入失信被执行人、重大税收违法案件当事人名单；</w:t>
      </w:r>
    </w:p>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未被中国政府采购网(www.ccgp.gov.cn)列入政府采购严重违法失信行为记录名单。</w:t>
      </w: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p>
    <w:p>
      <w:pPr>
        <w:spacing w:line="360" w:lineRule="auto"/>
        <w:jc w:val="center"/>
        <w:rPr>
          <w:rFonts w:cs="仿宋_GB2312" w:asciiTheme="minorEastAsia" w:hAnsiTheme="minorEastAsia" w:eastAsiaTheme="minorEastAsia"/>
          <w:b/>
          <w:sz w:val="28"/>
          <w:szCs w:val="28"/>
        </w:rPr>
      </w:pPr>
      <w:r>
        <w:rPr>
          <w:rFonts w:hint="eastAsia" w:cs="仿宋_GB2312" w:asciiTheme="minorEastAsia" w:hAnsiTheme="minorEastAsia" w:eastAsiaTheme="minorEastAsia"/>
          <w:b/>
          <w:sz w:val="28"/>
          <w:szCs w:val="28"/>
        </w:rPr>
        <w:t>1.8、特定资格条件要求的资质文件（复印件）</w:t>
      </w:r>
    </w:p>
    <w:p>
      <w:pPr>
        <w:widowControl/>
        <w:spacing w:line="360" w:lineRule="auto"/>
        <w:ind w:firstLine="1155" w:firstLineChars="550"/>
        <w:jc w:val="left"/>
        <w:rPr>
          <w:rFonts w:cs="仿宋_GB2312" w:asciiTheme="minorEastAsia" w:hAnsiTheme="minorEastAsia" w:eastAsiaTheme="minorEastAsia"/>
          <w:b/>
          <w:bCs/>
          <w:szCs w:val="21"/>
        </w:rPr>
      </w:pPr>
      <w:r>
        <w:rPr>
          <w:rFonts w:hint="eastAsia" w:cs="仿宋_GB2312" w:asciiTheme="minorEastAsia" w:hAnsiTheme="minorEastAsia" w:eastAsiaTheme="minorEastAsia"/>
          <w:szCs w:val="21"/>
        </w:rPr>
        <w:t>（由投标人根据招标公告合格的投标人应具备的特定资格要求编制）</w:t>
      </w: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jc w:val="center"/>
        <w:rPr>
          <w:snapToGrid w:val="0"/>
        </w:rPr>
      </w:pPr>
    </w:p>
    <w:p>
      <w:pPr>
        <w:widowControl/>
        <w:jc w:val="left"/>
        <w:rPr>
          <w:rFonts w:ascii="楷体" w:eastAsia="楷体"/>
          <w:kern w:val="0"/>
          <w:sz w:val="24"/>
        </w:rPr>
      </w:pPr>
      <w:r>
        <w:br w:type="page"/>
      </w:r>
    </w:p>
    <w:p>
      <w:pPr>
        <w:autoSpaceDE w:val="0"/>
        <w:autoSpaceDN w:val="0"/>
        <w:adjustRightInd w:val="0"/>
        <w:snapToGrid w:val="0"/>
        <w:spacing w:line="360" w:lineRule="auto"/>
        <w:outlineLvl w:val="1"/>
        <w:rPr>
          <w:rFonts w:asciiTheme="minorEastAsia" w:hAnsiTheme="minorEastAsia" w:eastAsiaTheme="minorEastAsia"/>
          <w:snapToGrid w:val="0"/>
          <w:kern w:val="0"/>
        </w:rPr>
      </w:pPr>
    </w:p>
    <w:p>
      <w:pPr>
        <w:pStyle w:val="4"/>
        <w:snapToGrid w:val="0"/>
        <w:spacing w:before="0" w:after="0" w:line="360" w:lineRule="auto"/>
        <w:rPr>
          <w:rFonts w:asciiTheme="minorEastAsia" w:hAnsiTheme="minorEastAsia" w:eastAsiaTheme="minorEastAsia"/>
          <w:snapToGrid w:val="0"/>
          <w:kern w:val="0"/>
          <w:sz w:val="21"/>
          <w:szCs w:val="21"/>
        </w:rPr>
      </w:pPr>
      <w:bookmarkStart w:id="165" w:name="_Toc23154240"/>
      <w:r>
        <w:rPr>
          <w:rFonts w:hint="eastAsia" w:asciiTheme="minorEastAsia" w:hAnsiTheme="minorEastAsia" w:eastAsiaTheme="minorEastAsia"/>
          <w:snapToGrid w:val="0"/>
          <w:kern w:val="0"/>
          <w:sz w:val="21"/>
          <w:szCs w:val="21"/>
        </w:rPr>
        <w:t>二、报价文件</w:t>
      </w:r>
      <w:bookmarkEnd w:id="165"/>
    </w:p>
    <w:p>
      <w:pPr>
        <w:autoSpaceDE w:val="0"/>
        <w:autoSpaceDN w:val="0"/>
        <w:adjustRightInd w:val="0"/>
        <w:snapToGrid w:val="0"/>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2.1投标函</w:t>
      </w:r>
    </w:p>
    <w:p>
      <w:pPr>
        <w:pStyle w:val="25"/>
        <w:adjustRightInd w:val="0"/>
        <w:snapToGrid w:val="0"/>
        <w:spacing w:line="360" w:lineRule="auto"/>
        <w:jc w:val="center"/>
        <w:rPr>
          <w:rFonts w:cs="Times New Roman" w:asciiTheme="minorEastAsia" w:hAnsiTheme="minorEastAsia" w:eastAsiaTheme="minorEastAsia"/>
          <w:b/>
          <w:snapToGrid w:val="0"/>
          <w:kern w:val="0"/>
          <w:sz w:val="28"/>
          <w:szCs w:val="28"/>
        </w:rPr>
      </w:pPr>
      <w:r>
        <w:rPr>
          <w:rFonts w:hint="eastAsia" w:cs="宋体" w:asciiTheme="minorEastAsia" w:hAnsiTheme="minorEastAsia" w:eastAsiaTheme="minorEastAsia"/>
          <w:b/>
          <w:snapToGrid w:val="0"/>
          <w:kern w:val="0"/>
          <w:sz w:val="28"/>
          <w:szCs w:val="28"/>
        </w:rPr>
        <w:t>投标函</w:t>
      </w:r>
    </w:p>
    <w:p>
      <w:pPr>
        <w:pStyle w:val="25"/>
        <w:adjustRightInd w:val="0"/>
        <w:snapToGrid w:val="0"/>
        <w:spacing w:line="360" w:lineRule="auto"/>
        <w:rPr>
          <w:rFonts w:asciiTheme="minorEastAsia" w:hAnsiTheme="minorEastAsia" w:eastAsiaTheme="minorEastAsia"/>
          <w:snapToGrid w:val="0"/>
          <w:kern w:val="0"/>
          <w:u w:val="single"/>
        </w:rPr>
      </w:pPr>
      <w:r>
        <w:rPr>
          <w:rFonts w:hint="eastAsia" w:cs="宋体" w:asciiTheme="minorEastAsia" w:hAnsiTheme="minorEastAsia" w:eastAsiaTheme="minorEastAsia"/>
          <w:snapToGrid w:val="0"/>
          <w:kern w:val="0"/>
          <w:u w:val="single"/>
        </w:rPr>
        <w:t>杭州市水文水资源监测总站</w:t>
      </w:r>
      <w:r>
        <w:rPr>
          <w:rFonts w:hint="eastAsia" w:cs="宋体" w:asciiTheme="minorEastAsia" w:hAnsiTheme="minorEastAsia" w:eastAsiaTheme="minorEastAsia"/>
          <w:snapToGrid w:val="0"/>
          <w:kern w:val="0"/>
        </w:rPr>
        <w:t>：</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投标人全称</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授权</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全权代表姓名</w:t>
      </w:r>
      <w:r>
        <w:rPr>
          <w:rFonts w:hint="eastAsia" w:asciiTheme="minorEastAsia" w:hAnsiTheme="minorEastAsia" w:eastAsiaTheme="minorEastAsia"/>
          <w:snapToGrid w:val="0"/>
          <w:kern w:val="0"/>
        </w:rPr>
        <w:t>)______________</w:t>
      </w:r>
    </w:p>
    <w:p>
      <w:pPr>
        <w:pStyle w:val="25"/>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职务、职称</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为全权代表，参加贵方组织的</w:t>
      </w:r>
      <w:r>
        <w:rPr>
          <w:rFonts w:hint="eastAsia" w:cs="宋体" w:asciiTheme="minorEastAsia" w:hAnsiTheme="minorEastAsia" w:eastAsiaTheme="minorEastAsia"/>
          <w:snapToGrid w:val="0"/>
          <w:kern w:val="0"/>
          <w:u w:val="single"/>
        </w:rPr>
        <w:t>杭州市水文水资源监测总站市本级水旱灾害监测预警平台建设项目</w:t>
      </w:r>
      <w:r>
        <w:rPr>
          <w:rFonts w:hint="eastAsia" w:asciiTheme="minorEastAsia" w:hAnsiTheme="minorEastAsia" w:eastAsiaTheme="minorEastAsia"/>
          <w:snapToGrid w:val="0"/>
          <w:kern w:val="0"/>
        </w:rPr>
        <w:t xml:space="preserve"> (</w:t>
      </w:r>
      <w:r>
        <w:rPr>
          <w:rFonts w:hint="eastAsia" w:cs="宋体" w:asciiTheme="minorEastAsia" w:hAnsiTheme="minorEastAsia" w:eastAsiaTheme="minorEastAsia"/>
          <w:snapToGrid w:val="0"/>
          <w:kern w:val="0"/>
        </w:rPr>
        <w:t>招标编号：</w:t>
      </w:r>
      <w:r>
        <w:rPr>
          <w:rFonts w:hint="eastAsia" w:asciiTheme="minorEastAsia" w:hAnsiTheme="minorEastAsia" w:eastAsiaTheme="minorEastAsia"/>
          <w:snapToGrid w:val="0"/>
          <w:kern w:val="0"/>
        </w:rPr>
        <w:t>HZNU- 2019      )</w:t>
      </w:r>
      <w:r>
        <w:rPr>
          <w:rFonts w:hint="eastAsia" w:cs="宋体" w:asciiTheme="minorEastAsia" w:hAnsiTheme="minorEastAsia" w:eastAsiaTheme="minorEastAsia"/>
          <w:snapToGrid w:val="0"/>
          <w:kern w:val="0"/>
        </w:rPr>
        <w:t>的有关活动，并对此项目进行投标。为此：</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cs="宋体" w:asciiTheme="minorEastAsia" w:hAnsiTheme="minorEastAsia" w:eastAsiaTheme="minorEastAsia"/>
          <w:snapToGrid w:val="0"/>
          <w:kern w:val="0"/>
        </w:rPr>
        <w:t>、我方同意在投标人编制和提交采购响应文件须知规定的开标日期起遵守本投标书中的承诺且在投标有效期满之前均具有约束力。</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hint="eastAsia" w:cs="宋体" w:asciiTheme="minorEastAsia" w:hAnsiTheme="minorEastAsia" w:eastAsiaTheme="minorEastAsia"/>
          <w:snapToGrid w:val="0"/>
          <w:kern w:val="0"/>
        </w:rPr>
        <w:t>、我方承诺已经具备《中华人民共和国政府采购法》中规定的参加政府采购活动的供应商应当具备的条件：</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cs="宋体" w:asciiTheme="minorEastAsia" w:hAnsiTheme="minorEastAsia" w:eastAsiaTheme="minorEastAsia"/>
          <w:snapToGrid w:val="0"/>
          <w:kern w:val="0"/>
        </w:rPr>
        <w:t>具有独立承担民事责任的能力；</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hint="eastAsia" w:cs="宋体" w:asciiTheme="minorEastAsia" w:hAnsiTheme="minorEastAsia" w:eastAsiaTheme="minorEastAsia"/>
          <w:snapToGrid w:val="0"/>
          <w:kern w:val="0"/>
        </w:rPr>
        <w:t>遵守国家法律、行政法规，具有良好的信誉和商业道德；</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cs="宋体" w:asciiTheme="minorEastAsia" w:hAnsiTheme="minorEastAsia" w:eastAsiaTheme="minorEastAsia"/>
          <w:snapToGrid w:val="0"/>
          <w:kern w:val="0"/>
        </w:rPr>
        <w:t>具有履行合同的能力和良好的履行合同记录；</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cs="宋体" w:asciiTheme="minorEastAsia" w:hAnsiTheme="minorEastAsia" w:eastAsiaTheme="minorEastAsia"/>
          <w:snapToGrid w:val="0"/>
          <w:kern w:val="0"/>
        </w:rPr>
        <w:t>良好的资金、财务状况；</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cs="宋体" w:asciiTheme="minorEastAsia" w:hAnsiTheme="minorEastAsia" w:eastAsiaTheme="minorEastAsia"/>
          <w:snapToGrid w:val="0"/>
          <w:kern w:val="0"/>
        </w:rPr>
        <w:t>产品及生产所需装备符合中国政府规定的相应技术标准和环保标准；</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cs="宋体" w:asciiTheme="minorEastAsia" w:hAnsiTheme="minorEastAsia" w:eastAsiaTheme="minorEastAsia"/>
          <w:snapToGrid w:val="0"/>
          <w:kern w:val="0"/>
        </w:rPr>
        <w:t>没有违反政府采购法规、政策的记录；</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cs="宋体" w:asciiTheme="minorEastAsia" w:hAnsiTheme="minorEastAsia" w:eastAsiaTheme="minorEastAsia"/>
          <w:snapToGrid w:val="0"/>
          <w:kern w:val="0"/>
        </w:rPr>
        <w:t>没有发生重大经济纠纷和走私犯罪记录。</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cs="宋体" w:asciiTheme="minorEastAsia" w:hAnsiTheme="minorEastAsia" w:eastAsiaTheme="minorEastAsia"/>
          <w:snapToGrid w:val="0"/>
          <w:kern w:val="0"/>
        </w:rPr>
        <w:t>、提供编制和提交采购响应文件须知规定的全部投标文件，包括投标文件正本</w:t>
      </w:r>
      <w:r>
        <w:rPr>
          <w:rFonts w:hint="eastAsia" w:asciiTheme="minorEastAsia" w:hAnsiTheme="minorEastAsia" w:eastAsiaTheme="minorEastAsia"/>
          <w:snapToGrid w:val="0"/>
          <w:kern w:val="0"/>
          <w:u w:val="single"/>
        </w:rPr>
        <w:t>1</w:t>
      </w:r>
      <w:r>
        <w:rPr>
          <w:rFonts w:hint="eastAsia" w:cs="宋体" w:asciiTheme="minorEastAsia" w:hAnsiTheme="minorEastAsia" w:eastAsiaTheme="minorEastAsia"/>
          <w:snapToGrid w:val="0"/>
          <w:kern w:val="0"/>
        </w:rPr>
        <w:t>份，副本</w:t>
      </w:r>
      <w:r>
        <w:rPr>
          <w:rFonts w:hint="eastAsia" w:asciiTheme="minorEastAsia" w:hAnsiTheme="minorEastAsia" w:eastAsiaTheme="minorEastAsia"/>
          <w:snapToGrid w:val="0"/>
          <w:kern w:val="0"/>
          <w:u w:val="single"/>
        </w:rPr>
        <w:t>5</w:t>
      </w:r>
      <w:r>
        <w:rPr>
          <w:rFonts w:hint="eastAsia" w:cs="宋体" w:asciiTheme="minorEastAsia" w:hAnsiTheme="minorEastAsia" w:eastAsiaTheme="minorEastAsia"/>
          <w:snapToGrid w:val="0"/>
          <w:kern w:val="0"/>
        </w:rPr>
        <w:t>份，电子文档</w:t>
      </w:r>
      <w:r>
        <w:rPr>
          <w:rFonts w:hint="eastAsia" w:asciiTheme="minorEastAsia" w:hAnsiTheme="minorEastAsia" w:eastAsiaTheme="minorEastAsia"/>
          <w:snapToGrid w:val="0"/>
          <w:kern w:val="0"/>
          <w:u w:val="single"/>
        </w:rPr>
        <w:t>1</w:t>
      </w:r>
      <w:r>
        <w:rPr>
          <w:rFonts w:hint="eastAsia" w:cs="宋体" w:asciiTheme="minorEastAsia" w:hAnsiTheme="minorEastAsia" w:eastAsiaTheme="minorEastAsia"/>
          <w:snapToGrid w:val="0"/>
          <w:kern w:val="0"/>
        </w:rPr>
        <w:t>份。具体内容为：</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hint="eastAsia" w:cs="宋体" w:asciiTheme="minorEastAsia" w:hAnsiTheme="minorEastAsia" w:eastAsiaTheme="minorEastAsia"/>
          <w:snapToGrid w:val="0"/>
          <w:kern w:val="0"/>
        </w:rPr>
        <w:t>投标</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开标</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一览表及投标报价明细清单；</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hint="eastAsia" w:cs="宋体" w:asciiTheme="minorEastAsia" w:hAnsiTheme="minorEastAsia" w:eastAsiaTheme="minorEastAsia"/>
          <w:snapToGrid w:val="0"/>
          <w:kern w:val="0"/>
        </w:rPr>
        <w:t>投标技术文件和商务文件；</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cs="宋体" w:asciiTheme="minorEastAsia" w:hAnsiTheme="minorEastAsia" w:eastAsiaTheme="minorEastAsia"/>
          <w:snapToGrid w:val="0"/>
          <w:kern w:val="0"/>
        </w:rPr>
        <w:t>编制和提交采购响应文件须知要求投标人提交的全部文件；</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cs="宋体" w:asciiTheme="minorEastAsia" w:hAnsiTheme="minorEastAsia" w:eastAsiaTheme="minorEastAsia"/>
          <w:snapToGrid w:val="0"/>
          <w:kern w:val="0"/>
        </w:rPr>
        <w:t>按招标文件要求提供和交付的货物和服务的投标报价详见投标</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开标</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一览表；</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cs="宋体" w:asciiTheme="minorEastAsia" w:hAnsiTheme="minorEastAsia" w:eastAsiaTheme="minorEastAsia"/>
          <w:snapToGrid w:val="0"/>
          <w:kern w:val="0"/>
        </w:rPr>
        <w:t>保证忠实地执行双方所签订的合同，并承担合同规定的责任和义务；</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cs="宋体" w:asciiTheme="minorEastAsia" w:hAnsiTheme="minorEastAsia" w:eastAsiaTheme="minorEastAsia"/>
          <w:snapToGrid w:val="0"/>
          <w:kern w:val="0"/>
        </w:rPr>
        <w:t>保证遵守招标文件中的其他有关规定。</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cs="宋体" w:asciiTheme="minorEastAsia" w:hAnsiTheme="minorEastAsia" w:eastAsiaTheme="minorEastAsia"/>
          <w:snapToGrid w:val="0"/>
          <w:kern w:val="0"/>
        </w:rPr>
        <w:t>、我方完全理解贵方不一定要接受最低价的投标。</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cs="宋体" w:asciiTheme="minorEastAsia" w:hAnsiTheme="minorEastAsia" w:eastAsiaTheme="minorEastAsia"/>
          <w:snapToGrid w:val="0"/>
          <w:kern w:val="0"/>
        </w:rPr>
        <w:t>、我方愿意向贵方提供任何与该项投标有关的数据、情况和技术资料。若贵方需要，我方愿意提供我方作出的一切承诺的证明材料。</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cs="宋体" w:asciiTheme="minorEastAsia" w:hAnsiTheme="minorEastAsia" w:eastAsiaTheme="minorEastAsia"/>
          <w:snapToGrid w:val="0"/>
          <w:kern w:val="0"/>
        </w:rPr>
        <w:t>、我方已详细审核全部招标文件，包括招标文件修改书</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如果有</w:t>
      </w:r>
      <w:r>
        <w:rPr>
          <w:rFonts w:hint="eastAsia" w:asciiTheme="minorEastAsia" w:hAnsiTheme="minorEastAsia" w:eastAsiaTheme="minorEastAsia"/>
          <w:snapToGrid w:val="0"/>
          <w:kern w:val="0"/>
        </w:rPr>
        <w:t>)</w:t>
      </w:r>
      <w:r>
        <w:rPr>
          <w:rFonts w:hint="eastAsia" w:cs="宋体" w:asciiTheme="minorEastAsia" w:hAnsiTheme="minorEastAsia" w:eastAsiaTheme="minorEastAsia"/>
          <w:snapToGrid w:val="0"/>
          <w:kern w:val="0"/>
        </w:rPr>
        <w:t>、参考资料及有关附件，确认无误。</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cs="宋体" w:asciiTheme="minorEastAsia" w:hAnsiTheme="minorEastAsia" w:eastAsiaTheme="minorEastAsia"/>
          <w:snapToGrid w:val="0"/>
          <w:kern w:val="0"/>
        </w:rPr>
        <w:t>、我方将严格遵守《中华人民共和国政府采购法》第七十七条规定，供应商有下列情形之一的，处以采购金额</w:t>
      </w:r>
      <w:r>
        <w:rPr>
          <w:rFonts w:hint="eastAsia" w:asciiTheme="minorEastAsia" w:hAnsiTheme="minorEastAsia" w:eastAsiaTheme="minorEastAsia"/>
          <w:snapToGrid w:val="0"/>
          <w:kern w:val="0"/>
        </w:rPr>
        <w:t>5‰</w:t>
      </w:r>
      <w:r>
        <w:rPr>
          <w:rFonts w:hint="eastAsia" w:cs="宋体" w:asciiTheme="minorEastAsia" w:hAnsiTheme="minorEastAsia" w:eastAsiaTheme="minorEastAsia"/>
          <w:snapToGrid w:val="0"/>
          <w:kern w:val="0"/>
        </w:rPr>
        <w:t>以上</w:t>
      </w:r>
      <w:r>
        <w:rPr>
          <w:rFonts w:hint="eastAsia" w:asciiTheme="minorEastAsia" w:hAnsiTheme="minorEastAsia" w:eastAsiaTheme="minorEastAsia"/>
          <w:snapToGrid w:val="0"/>
          <w:kern w:val="0"/>
        </w:rPr>
        <w:t>10‰</w:t>
      </w:r>
      <w:r>
        <w:rPr>
          <w:rFonts w:hint="eastAsia" w:cs="宋体" w:asciiTheme="minorEastAsia" w:hAnsiTheme="minorEastAsia" w:eastAsiaTheme="minorEastAsia"/>
          <w:snapToGrid w:val="0"/>
          <w:kern w:val="0"/>
        </w:rPr>
        <w:t>以下的罚款，列入不良行为记录名单，在一至三年内禁止参加政府采购活动；有违法所得的，并处没收违法所得；情节严重的，由工商行政管理机关吊销营业执照；构成犯罪的，依法追究刑事责任：</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a)</w:t>
      </w:r>
      <w:r>
        <w:rPr>
          <w:rFonts w:hint="eastAsia" w:cs="宋体" w:asciiTheme="minorEastAsia" w:hAnsiTheme="minorEastAsia" w:eastAsiaTheme="minorEastAsia"/>
          <w:snapToGrid w:val="0"/>
          <w:kern w:val="0"/>
        </w:rPr>
        <w:t>提供虚假材料谋取中标、成交的；</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b)</w:t>
      </w:r>
      <w:r>
        <w:rPr>
          <w:rFonts w:hint="eastAsia" w:cs="宋体" w:asciiTheme="minorEastAsia" w:hAnsiTheme="minorEastAsia" w:eastAsiaTheme="minorEastAsia"/>
          <w:snapToGrid w:val="0"/>
          <w:kern w:val="0"/>
        </w:rPr>
        <w:t>采取不正当手段诋毁、排挤其他供应商的；</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c)</w:t>
      </w:r>
      <w:r>
        <w:rPr>
          <w:rFonts w:hint="eastAsia" w:cs="宋体" w:asciiTheme="minorEastAsia" w:hAnsiTheme="minorEastAsia" w:eastAsiaTheme="minorEastAsia"/>
          <w:snapToGrid w:val="0"/>
          <w:kern w:val="0"/>
        </w:rPr>
        <w:t>与采购人、其它供应商或者采购代理机构恶意串通的；</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d)</w:t>
      </w:r>
      <w:r>
        <w:rPr>
          <w:rFonts w:hint="eastAsia" w:cs="宋体" w:asciiTheme="minorEastAsia" w:hAnsiTheme="minorEastAsia" w:eastAsiaTheme="minorEastAsia"/>
          <w:snapToGrid w:val="0"/>
          <w:kern w:val="0"/>
        </w:rPr>
        <w:t>向采购人、采购代理机构行贿或者提供其他不正当利益的；</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e)</w:t>
      </w:r>
      <w:r>
        <w:rPr>
          <w:rFonts w:hint="eastAsia" w:cs="宋体" w:asciiTheme="minorEastAsia" w:hAnsiTheme="minorEastAsia" w:eastAsiaTheme="minorEastAsia"/>
          <w:snapToGrid w:val="0"/>
          <w:kern w:val="0"/>
        </w:rPr>
        <w:t>在招标采购过程中与采购人进行协商谈判的；</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f)</w:t>
      </w:r>
      <w:r>
        <w:rPr>
          <w:rFonts w:hint="eastAsia" w:cs="宋体" w:asciiTheme="minorEastAsia" w:hAnsiTheme="minorEastAsia" w:eastAsiaTheme="minorEastAsia"/>
          <w:snapToGrid w:val="0"/>
          <w:kern w:val="0"/>
        </w:rPr>
        <w:t>拒绝有关部门监督检查或提供虚假情况的。</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供应商有前款第</w:t>
      </w:r>
      <w:r>
        <w:rPr>
          <w:rFonts w:hint="eastAsia" w:asciiTheme="minorEastAsia" w:hAnsiTheme="minorEastAsia" w:eastAsiaTheme="minorEastAsia"/>
          <w:snapToGrid w:val="0"/>
          <w:kern w:val="0"/>
        </w:rPr>
        <w:t>a)</w:t>
      </w:r>
      <w:r>
        <w:rPr>
          <w:rFonts w:hint="eastAsia" w:cs="宋体" w:asciiTheme="minorEastAsia" w:hAnsiTheme="minorEastAsia" w:eastAsiaTheme="minorEastAsia"/>
          <w:snapToGrid w:val="0"/>
          <w:kern w:val="0"/>
        </w:rPr>
        <w:t>至</w:t>
      </w:r>
      <w:r>
        <w:rPr>
          <w:rFonts w:hint="eastAsia" w:asciiTheme="minorEastAsia" w:hAnsiTheme="minorEastAsia" w:eastAsiaTheme="minorEastAsia"/>
          <w:snapToGrid w:val="0"/>
          <w:kern w:val="0"/>
        </w:rPr>
        <w:t>e)</w:t>
      </w:r>
      <w:r>
        <w:rPr>
          <w:rFonts w:hint="eastAsia" w:cs="宋体" w:asciiTheme="minorEastAsia" w:hAnsiTheme="minorEastAsia" w:eastAsiaTheme="minorEastAsia"/>
          <w:snapToGrid w:val="0"/>
          <w:kern w:val="0"/>
        </w:rPr>
        <w:t>项情形之一的，中标、成交无效。</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法定代表人（签字或盖章）：</w:t>
      </w:r>
      <w:r>
        <w:rPr>
          <w:rFonts w:hint="eastAsia" w:asciiTheme="minorEastAsia" w:hAnsiTheme="minorEastAsia" w:eastAsiaTheme="minorEastAsia"/>
          <w:snapToGrid w:val="0"/>
          <w:kern w:val="0"/>
        </w:rPr>
        <w:tab/>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授权委托人（签字）：</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投标人（盖公章）：</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联系人：联系电话</w:t>
      </w:r>
      <w:r>
        <w:rPr>
          <w:rFonts w:hint="eastAsia" w:cs="宋体" w:asciiTheme="minorEastAsia" w:hAnsiTheme="minorEastAsia" w:eastAsiaTheme="minorEastAsia"/>
          <w:snapToGrid w:val="0"/>
          <w:kern w:val="0"/>
          <w:u w:val="single"/>
        </w:rPr>
        <w:t>：</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联系地址：</w:t>
      </w:r>
    </w:p>
    <w:p>
      <w:pPr>
        <w:pStyle w:val="25"/>
        <w:adjustRightInd w:val="0"/>
        <w:snapToGrid w:val="0"/>
        <w:spacing w:line="360" w:lineRule="auto"/>
        <w:ind w:firstLine="420" w:firstLineChars="20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邮政编码：传真号码</w:t>
      </w:r>
      <w:r>
        <w:rPr>
          <w:rFonts w:hint="eastAsia" w:cs="宋体" w:asciiTheme="minorEastAsia" w:hAnsiTheme="minorEastAsia" w:eastAsiaTheme="minorEastAsia"/>
          <w:snapToGrid w:val="0"/>
          <w:kern w:val="0"/>
          <w:u w:val="single"/>
        </w:rPr>
        <w:t>：</w:t>
      </w:r>
    </w:p>
    <w:p>
      <w:pPr>
        <w:pStyle w:val="25"/>
        <w:adjustRightInd w:val="0"/>
        <w:snapToGrid w:val="0"/>
        <w:spacing w:line="360" w:lineRule="auto"/>
        <w:jc w:val="center"/>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 xml:space="preserve">      日期：年</w:t>
      </w:r>
      <w:r>
        <w:rPr>
          <w:rFonts w:hint="eastAsia" w:asciiTheme="minorEastAsia" w:hAnsiTheme="minorEastAsia" w:eastAsiaTheme="minorEastAsia"/>
          <w:snapToGrid w:val="0"/>
          <w:kern w:val="0"/>
          <w:u w:val="single"/>
        </w:rPr>
        <w:tab/>
      </w:r>
      <w:r>
        <w:rPr>
          <w:rFonts w:hint="eastAsia" w:cs="宋体" w:asciiTheme="minorEastAsia" w:hAnsiTheme="minorEastAsia" w:eastAsiaTheme="minorEastAsia"/>
          <w:snapToGrid w:val="0"/>
          <w:kern w:val="0"/>
        </w:rPr>
        <w:t>月日</w:t>
      </w:r>
    </w:p>
    <w:p>
      <w:pPr>
        <w:autoSpaceDE w:val="0"/>
        <w:autoSpaceDN w:val="0"/>
        <w:adjustRightInd w:val="0"/>
        <w:snapToGrid w:val="0"/>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Cs/>
          <w:snapToGrid w:val="0"/>
          <w:kern w:val="0"/>
          <w:szCs w:val="21"/>
        </w:rPr>
        <w:br w:type="page"/>
      </w:r>
      <w:r>
        <w:rPr>
          <w:rFonts w:hint="eastAsia" w:asciiTheme="minorEastAsia" w:hAnsiTheme="minorEastAsia" w:eastAsiaTheme="minorEastAsia"/>
          <w:bCs/>
          <w:snapToGrid w:val="0"/>
          <w:kern w:val="0"/>
          <w:szCs w:val="21"/>
        </w:rPr>
        <w:t>2.2</w:t>
      </w:r>
      <w:r>
        <w:rPr>
          <w:rFonts w:hint="eastAsia" w:asciiTheme="minorEastAsia" w:hAnsiTheme="minorEastAsia" w:eastAsiaTheme="minorEastAsia"/>
          <w:b/>
          <w:bCs/>
          <w:snapToGrid w:val="0"/>
          <w:kern w:val="0"/>
          <w:szCs w:val="21"/>
        </w:rPr>
        <w:t xml:space="preserve"> 开标一览表</w:t>
      </w:r>
    </w:p>
    <w:p>
      <w:pPr>
        <w:adjustRightInd w:val="0"/>
        <w:snapToGrid w:val="0"/>
        <w:spacing w:line="360" w:lineRule="auto"/>
        <w:jc w:val="center"/>
        <w:rPr>
          <w:rFonts w:asciiTheme="minorEastAsia" w:hAnsiTheme="minorEastAsia" w:eastAsiaTheme="minorEastAsia"/>
          <w:b/>
          <w:snapToGrid w:val="0"/>
          <w:kern w:val="0"/>
          <w:sz w:val="32"/>
          <w:szCs w:val="32"/>
        </w:rPr>
      </w:pPr>
      <w:r>
        <w:rPr>
          <w:rFonts w:hint="eastAsia" w:asciiTheme="minorEastAsia" w:hAnsiTheme="minorEastAsia" w:eastAsiaTheme="minorEastAsia"/>
          <w:b/>
          <w:snapToGrid w:val="0"/>
          <w:kern w:val="0"/>
          <w:sz w:val="32"/>
          <w:szCs w:val="32"/>
        </w:rPr>
        <w:t>开标一览表</w:t>
      </w: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项目名称：                                 项目编号：      标项： </w:t>
      </w:r>
    </w:p>
    <w:tbl>
      <w:tblPr>
        <w:tblStyle w:val="4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6"/>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2"/>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投标总价（人民币）元，大写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256"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建设时间（日历天）</w:t>
            </w:r>
          </w:p>
        </w:tc>
        <w:tc>
          <w:tcPr>
            <w:tcW w:w="6266" w:type="dxa"/>
            <w:vAlign w:val="center"/>
          </w:tcPr>
          <w:p>
            <w:pPr>
              <w:adjustRightInd w:val="0"/>
              <w:snapToGrid w:val="0"/>
              <w:spacing w:line="360" w:lineRule="auto"/>
              <w:jc w:val="center"/>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56"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质 保 期</w:t>
            </w:r>
          </w:p>
        </w:tc>
        <w:tc>
          <w:tcPr>
            <w:tcW w:w="6266"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货物验收合格、移交之日起  个月</w:t>
            </w:r>
          </w:p>
        </w:tc>
      </w:tr>
    </w:tbl>
    <w:p>
      <w:pPr>
        <w:adjustRightInd w:val="0"/>
        <w:snapToGrid w:val="0"/>
        <w:spacing w:line="360" w:lineRule="auto"/>
        <w:jc w:val="left"/>
        <w:rPr>
          <w:rFonts w:asciiTheme="minorEastAsia" w:hAnsiTheme="minorEastAsia" w:eastAsiaTheme="minorEastAsia"/>
          <w:snapToGrid w:val="0"/>
          <w:kern w:val="0"/>
          <w:szCs w:val="21"/>
        </w:rPr>
      </w:pP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注：1．“报价方式”以一次报清，完成本项目所需的所有费用必须包含在投标总价中，如以后已实施而未列入报价的费用将被视为投标人优惠，采购人均不予支付。</w:t>
      </w:r>
    </w:p>
    <w:p>
      <w:pPr>
        <w:adjustRightInd w:val="0"/>
        <w:snapToGrid w:val="0"/>
        <w:spacing w:line="360" w:lineRule="auto"/>
        <w:rPr>
          <w:rFonts w:asciiTheme="minorEastAsia" w:hAnsiTheme="minorEastAsia" w:eastAsiaTheme="minorEastAsia"/>
          <w:snapToGrid w:val="0"/>
          <w:kern w:val="0"/>
          <w:szCs w:val="21"/>
        </w:rPr>
      </w:pPr>
    </w:p>
    <w:p>
      <w:pPr>
        <w:adjustRightInd w:val="0"/>
        <w:snapToGrid w:val="0"/>
        <w:spacing w:line="360" w:lineRule="auto"/>
        <w:ind w:firstLine="4515" w:firstLineChars="2150"/>
        <w:rPr>
          <w:rFonts w:asciiTheme="minorEastAsia" w:hAnsiTheme="minorEastAsia" w:eastAsiaTheme="minorEastAsia"/>
          <w:snapToGrid w:val="0"/>
          <w:kern w:val="0"/>
          <w:szCs w:val="21"/>
        </w:rPr>
      </w:pPr>
    </w:p>
    <w:p>
      <w:pPr>
        <w:adjustRightInd w:val="0"/>
        <w:snapToGrid w:val="0"/>
        <w:spacing w:line="360" w:lineRule="auto"/>
        <w:ind w:firstLine="4515" w:firstLineChars="215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ind w:firstLine="4515" w:firstLineChars="215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法定代表人或授权代表(签字或盖章)</w:t>
      </w:r>
    </w:p>
    <w:p>
      <w:pPr>
        <w:pStyle w:val="25"/>
        <w:adjustRightInd w:val="0"/>
        <w:snapToGrid w:val="0"/>
        <w:spacing w:line="360" w:lineRule="auto"/>
        <w:ind w:firstLine="4515" w:firstLineChars="2150"/>
        <w:rPr>
          <w:rFonts w:asciiTheme="minorEastAsia" w:hAnsiTheme="minorEastAsia" w:eastAsiaTheme="minorEastAsia"/>
          <w:snapToGrid w:val="0"/>
          <w:kern w:val="0"/>
        </w:rPr>
      </w:pPr>
      <w:r>
        <w:rPr>
          <w:rFonts w:hint="eastAsia" w:cs="宋体" w:asciiTheme="minorEastAsia" w:hAnsiTheme="minorEastAsia" w:eastAsiaTheme="minorEastAsia"/>
          <w:snapToGrid w:val="0"/>
          <w:kern w:val="0"/>
        </w:rPr>
        <w:t>日期：</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snapToGrid w:val="0"/>
          <w:kern w:val="0"/>
        </w:rPr>
        <w:br w:type="page"/>
      </w:r>
      <w:r>
        <w:rPr>
          <w:rFonts w:hint="eastAsia" w:asciiTheme="minorEastAsia" w:hAnsiTheme="minorEastAsia" w:eastAsiaTheme="minorEastAsia"/>
          <w:b/>
          <w:snapToGrid w:val="0"/>
          <w:kern w:val="0"/>
          <w:szCs w:val="21"/>
        </w:rPr>
        <w:t>2.3报价相关表格</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 xml:space="preserve">2.3.1 </w:t>
      </w:r>
    </w:p>
    <w:p>
      <w:pPr>
        <w:adjustRightInd w:val="0"/>
        <w:snapToGrid w:val="0"/>
        <w:spacing w:line="360" w:lineRule="auto"/>
        <w:jc w:val="center"/>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投标报价汇总表</w:t>
      </w:r>
    </w:p>
    <w:p>
      <w:pPr>
        <w:pStyle w:val="25"/>
        <w:adjustRightInd w:val="0"/>
        <w:snapToGrid w:val="0"/>
        <w:spacing w:line="360" w:lineRule="auto"/>
        <w:rPr>
          <w:rFonts w:asciiTheme="minorEastAsia" w:hAnsiTheme="minorEastAsia" w:eastAsiaTheme="minorEastAsia"/>
          <w:snapToGrid w:val="0"/>
          <w:kern w:val="0"/>
          <w:sz w:val="24"/>
        </w:rPr>
      </w:pP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项目名称：                                       项目编号：    </w:t>
      </w:r>
    </w:p>
    <w:p>
      <w:pPr>
        <w:adjustRightInd w:val="0"/>
        <w:snapToGrid w:val="0"/>
        <w:spacing w:line="360" w:lineRule="auto"/>
        <w:rPr>
          <w:rFonts w:asciiTheme="minorEastAsia" w:hAnsiTheme="minorEastAsia" w:eastAsiaTheme="minorEastAsia"/>
          <w:snapToGrid w:val="0"/>
          <w:kern w:val="0"/>
        </w:rPr>
      </w:pPr>
    </w:p>
    <w:p>
      <w:pPr>
        <w:adjustRightInd w:val="0"/>
        <w:snapToGrid w:val="0"/>
        <w:spacing w:line="360" w:lineRule="auto"/>
        <w:jc w:val="right"/>
        <w:rPr>
          <w:rFonts w:cs="黑体" w:asciiTheme="minorEastAsia" w:hAnsiTheme="minorEastAsia" w:eastAsiaTheme="minorEastAsia"/>
          <w:snapToGrid w:val="0"/>
          <w:kern w:val="0"/>
          <w:szCs w:val="20"/>
        </w:rPr>
      </w:pPr>
      <w:r>
        <w:rPr>
          <w:rFonts w:hint="eastAsia" w:cs="黑体" w:asciiTheme="minorEastAsia" w:hAnsiTheme="minorEastAsia" w:eastAsiaTheme="minorEastAsia"/>
          <w:snapToGrid w:val="0"/>
          <w:kern w:val="0"/>
          <w:szCs w:val="20"/>
        </w:rPr>
        <w:t xml:space="preserve"> 元人民币</w:t>
      </w:r>
    </w:p>
    <w:tbl>
      <w:tblPr>
        <w:tblStyle w:val="45"/>
        <w:tblW w:w="9646" w:type="dxa"/>
        <w:jc w:val="center"/>
        <w:tblLayout w:type="fixed"/>
        <w:tblCellMar>
          <w:top w:w="0" w:type="dxa"/>
          <w:left w:w="108" w:type="dxa"/>
          <w:bottom w:w="0" w:type="dxa"/>
          <w:right w:w="108" w:type="dxa"/>
        </w:tblCellMar>
      </w:tblPr>
      <w:tblGrid>
        <w:gridCol w:w="720"/>
        <w:gridCol w:w="1800"/>
        <w:gridCol w:w="987"/>
        <w:gridCol w:w="920"/>
        <w:gridCol w:w="709"/>
        <w:gridCol w:w="1071"/>
        <w:gridCol w:w="720"/>
        <w:gridCol w:w="864"/>
        <w:gridCol w:w="927"/>
        <w:gridCol w:w="928"/>
      </w:tblGrid>
      <w:tr>
        <w:trPr>
          <w:trHeight w:val="1072"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序号</w:t>
            </w: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设备材料名称</w:t>
            </w: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品牌</w:t>
            </w: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型号规格</w:t>
            </w: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产地</w:t>
            </w: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质保期</w:t>
            </w: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单位</w:t>
            </w: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数量</w:t>
            </w: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单价</w:t>
            </w: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合价</w:t>
            </w: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8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0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107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8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r>
        <w:tblPrEx>
          <w:tblCellMar>
            <w:top w:w="0" w:type="dxa"/>
            <w:left w:w="108" w:type="dxa"/>
            <w:bottom w:w="0" w:type="dxa"/>
            <w:right w:w="108" w:type="dxa"/>
          </w:tblCellMar>
        </w:tblPrEx>
        <w:trPr>
          <w:trHeight w:val="540" w:hRule="atLeast"/>
          <w:jc w:val="center"/>
        </w:trPr>
        <w:tc>
          <w:tcPr>
            <w:tcW w:w="7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rPr>
            </w:pPr>
          </w:p>
        </w:tc>
        <w:tc>
          <w:tcPr>
            <w:tcW w:w="7998" w:type="dxa"/>
            <w:gridSpan w:val="8"/>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rPr>
              <w:t>投标总报价（人民币大写）： ________________________元</w:t>
            </w:r>
          </w:p>
        </w:tc>
        <w:tc>
          <w:tcPr>
            <w:tcW w:w="9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rPr>
                <w:rFonts w:asciiTheme="minorEastAsia" w:hAnsiTheme="minorEastAsia" w:eastAsiaTheme="minorEastAsia"/>
                <w:snapToGrid w:val="0"/>
                <w:kern w:val="0"/>
                <w:sz w:val="24"/>
              </w:rPr>
            </w:pPr>
          </w:p>
        </w:tc>
      </w:tr>
    </w:tbl>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注：1. 投标人根据实际情况填写</w:t>
      </w:r>
    </w:p>
    <w:p>
      <w:pPr>
        <w:adjustRightInd w:val="0"/>
        <w:snapToGrid w:val="0"/>
        <w:spacing w:line="360" w:lineRule="auto"/>
        <w:ind w:firstLine="420" w:firstLineChars="20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2．各分项内容请另附表明确价格组成，格式参考1.3.2。</w:t>
      </w: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b/>
          <w:kern w:val="0"/>
          <w:sz w:val="24"/>
          <w:lang w:val="zh-CN"/>
        </w:rPr>
        <w:t>特别提示：采购机构将对</w:t>
      </w:r>
      <w:r>
        <w:rPr>
          <w:rFonts w:hint="eastAsia" w:cs="宋体" w:asciiTheme="minorEastAsia" w:hAnsiTheme="minorEastAsia" w:eastAsiaTheme="minorEastAsia"/>
          <w:b/>
          <w:kern w:val="0"/>
          <w:sz w:val="24"/>
        </w:rPr>
        <w:t>项目名称和项目编号，中标供应商名称、地址和中标金额，主要中标标的的名称、规格型号、数量、单价、服务要求等</w:t>
      </w:r>
      <w:r>
        <w:rPr>
          <w:rFonts w:hint="eastAsia" w:asciiTheme="minorEastAsia" w:hAnsiTheme="minorEastAsia" w:eastAsiaTheme="minorEastAsia"/>
          <w:b/>
          <w:kern w:val="0"/>
          <w:sz w:val="24"/>
          <w:lang w:val="zh-CN"/>
        </w:rPr>
        <w:t>予以公示。</w:t>
      </w:r>
    </w:p>
    <w:p>
      <w:pPr>
        <w:adjustRightInd w:val="0"/>
        <w:snapToGrid w:val="0"/>
        <w:spacing w:line="360" w:lineRule="auto"/>
        <w:ind w:firstLine="420" w:firstLineChars="200"/>
        <w:rPr>
          <w:rFonts w:asciiTheme="minorEastAsia" w:hAnsiTheme="minorEastAsia" w:eastAsiaTheme="minorEastAsia"/>
          <w:snapToGrid w:val="0"/>
          <w:kern w:val="0"/>
        </w:rPr>
      </w:pPr>
    </w:p>
    <w:p>
      <w:pPr>
        <w:adjustRightInd w:val="0"/>
        <w:snapToGrid w:val="0"/>
        <w:spacing w:line="360" w:lineRule="auto"/>
        <w:rPr>
          <w:rFonts w:asciiTheme="minorEastAsia" w:hAnsiTheme="minorEastAsia" w:eastAsiaTheme="minorEastAsia"/>
          <w:snapToGrid w:val="0"/>
          <w:kern w:val="0"/>
        </w:rPr>
      </w:pPr>
    </w:p>
    <w:p>
      <w:pPr>
        <w:adjustRightInd w:val="0"/>
        <w:snapToGrid w:val="0"/>
        <w:spacing w:line="360" w:lineRule="auto"/>
        <w:rPr>
          <w:rFonts w:asciiTheme="minorEastAsia" w:hAnsiTheme="minorEastAsia" w:eastAsiaTheme="minorEastAsia"/>
          <w:snapToGrid w:val="0"/>
          <w:kern w:val="0"/>
          <w:sz w:val="24"/>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法定代表人或授权代表(签字或盖章)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日  期：</w:t>
      </w: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br w:type="page"/>
      </w:r>
      <w:r>
        <w:rPr>
          <w:rFonts w:hint="eastAsia" w:asciiTheme="minorEastAsia" w:hAnsiTheme="minorEastAsia" w:eastAsiaTheme="minorEastAsia"/>
          <w:snapToGrid w:val="0"/>
          <w:kern w:val="0"/>
          <w:szCs w:val="21"/>
        </w:rPr>
        <w:t>2.3.2.</w:t>
      </w:r>
    </w:p>
    <w:p>
      <w:pPr>
        <w:adjustRightInd w:val="0"/>
        <w:snapToGrid w:val="0"/>
        <w:spacing w:line="360" w:lineRule="auto"/>
        <w:jc w:val="center"/>
        <w:rPr>
          <w:rFonts w:asciiTheme="minorEastAsia" w:hAnsiTheme="minorEastAsia" w:eastAsiaTheme="minorEastAsia"/>
          <w:b/>
          <w:snapToGrid w:val="0"/>
          <w:kern w:val="0"/>
          <w:sz w:val="32"/>
          <w:szCs w:val="20"/>
        </w:rPr>
      </w:pPr>
      <w:r>
        <w:rPr>
          <w:rFonts w:hint="eastAsia" w:asciiTheme="minorEastAsia" w:hAnsiTheme="minorEastAsia" w:eastAsiaTheme="minorEastAsia"/>
          <w:b/>
          <w:snapToGrid w:val="0"/>
          <w:kern w:val="0"/>
          <w:sz w:val="32"/>
        </w:rPr>
        <w:t>配件及耗材报价清单</w:t>
      </w:r>
    </w:p>
    <w:p>
      <w:pPr>
        <w:tabs>
          <w:tab w:val="left" w:pos="10710"/>
        </w:tabs>
        <w:adjustRightInd w:val="0"/>
        <w:snapToGrid w:val="0"/>
        <w:spacing w:line="360" w:lineRule="auto"/>
        <w:ind w:firstLine="480"/>
        <w:rPr>
          <w:rFonts w:asciiTheme="minorEastAsia" w:hAnsiTheme="minorEastAsia" w:eastAsiaTheme="minorEastAsia"/>
          <w:snapToGrid w:val="0"/>
          <w:kern w:val="0"/>
          <w:sz w:val="24"/>
          <w:szCs w:val="20"/>
        </w:rPr>
      </w:pP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项目名称：                                       项目编号：    </w:t>
      </w:r>
    </w:p>
    <w:p>
      <w:pPr>
        <w:adjustRightInd w:val="0"/>
        <w:snapToGrid w:val="0"/>
        <w:spacing w:line="360" w:lineRule="auto"/>
        <w:rPr>
          <w:rFonts w:asciiTheme="minorEastAsia" w:hAnsiTheme="minorEastAsia" w:eastAsiaTheme="minorEastAsia"/>
          <w:snapToGrid w:val="0"/>
          <w:kern w:val="0"/>
        </w:rPr>
      </w:pPr>
    </w:p>
    <w:p>
      <w:pPr>
        <w:adjustRightInd w:val="0"/>
        <w:snapToGrid w:val="0"/>
        <w:spacing w:line="360" w:lineRule="auto"/>
        <w:jc w:val="right"/>
        <w:rPr>
          <w:rFonts w:cs="黑体" w:asciiTheme="minorEastAsia" w:hAnsiTheme="minorEastAsia" w:eastAsiaTheme="minorEastAsia"/>
          <w:snapToGrid w:val="0"/>
          <w:kern w:val="0"/>
          <w:szCs w:val="20"/>
        </w:rPr>
      </w:pPr>
      <w:r>
        <w:rPr>
          <w:rFonts w:hint="eastAsia" w:cs="黑体" w:asciiTheme="minorEastAsia" w:hAnsiTheme="minorEastAsia" w:eastAsiaTheme="minorEastAsia"/>
          <w:snapToGrid w:val="0"/>
          <w:kern w:val="0"/>
          <w:szCs w:val="20"/>
        </w:rPr>
        <w:t xml:space="preserve"> 元人民币</w:t>
      </w:r>
    </w:p>
    <w:tbl>
      <w:tblPr>
        <w:tblStyle w:val="45"/>
        <w:tblW w:w="89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5"/>
        <w:gridCol w:w="1665"/>
        <w:gridCol w:w="1440"/>
        <w:gridCol w:w="1200"/>
        <w:gridCol w:w="780"/>
        <w:gridCol w:w="1320"/>
        <w:gridCol w:w="900"/>
        <w:gridCol w:w="90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序号</w:t>
            </w:r>
          </w:p>
        </w:tc>
        <w:tc>
          <w:tcPr>
            <w:tcW w:w="1665"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名称</w:t>
            </w:r>
          </w:p>
        </w:tc>
        <w:tc>
          <w:tcPr>
            <w:tcW w:w="1440" w:type="dxa"/>
            <w:vAlign w:val="center"/>
          </w:tcPr>
          <w:p>
            <w:pPr>
              <w:pStyle w:val="213"/>
              <w:snapToGrid w:val="0"/>
              <w:spacing w:line="360" w:lineRule="auto"/>
              <w:rPr>
                <w:rFonts w:hint="default" w:asciiTheme="minorEastAsia" w:hAnsiTheme="minorEastAsia" w:eastAsiaTheme="minorEastAsia"/>
                <w:snapToGrid w:val="0"/>
                <w:kern w:val="0"/>
              </w:rPr>
            </w:pPr>
            <w:r>
              <w:rPr>
                <w:rFonts w:asciiTheme="minorEastAsia" w:hAnsiTheme="minorEastAsia" w:eastAsiaTheme="minorEastAsia"/>
                <w:snapToGrid w:val="0"/>
                <w:kern w:val="0"/>
              </w:rPr>
              <w:t>型号规格</w:t>
            </w: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单位</w:t>
            </w: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数量</w:t>
            </w: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单价</w:t>
            </w:r>
          </w:p>
          <w:p>
            <w:pPr>
              <w:pStyle w:val="213"/>
              <w:snapToGrid w:val="0"/>
              <w:spacing w:line="360" w:lineRule="auto"/>
              <w:rPr>
                <w:rFonts w:hint="default" w:asciiTheme="minorEastAsia" w:hAnsiTheme="minorEastAsia" w:eastAsiaTheme="minorEastAsia"/>
                <w:snapToGrid w:val="0"/>
                <w:kern w:val="0"/>
              </w:rPr>
            </w:pPr>
            <w:r>
              <w:rPr>
                <w:rFonts w:asciiTheme="minorEastAsia" w:hAnsiTheme="minorEastAsia" w:eastAsiaTheme="minorEastAsia"/>
                <w:snapToGrid w:val="0"/>
                <w:kern w:val="0"/>
              </w:rPr>
              <w:t>（元）</w:t>
            </w:r>
          </w:p>
        </w:tc>
        <w:tc>
          <w:tcPr>
            <w:tcW w:w="9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生产厂家</w:t>
            </w:r>
          </w:p>
        </w:tc>
        <w:tc>
          <w:tcPr>
            <w:tcW w:w="9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r>
              <w:rPr>
                <w:rFonts w:hint="eastAsia" w:asciiTheme="minorEastAsia" w:hAnsiTheme="minorEastAsia" w:eastAsiaTheme="minorEastAsia"/>
                <w:snapToGrid w:val="0"/>
                <w:kern w:val="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pStyle w:val="31"/>
              <w:pBdr>
                <w:bottom w:val="none" w:color="auto" w:sz="0" w:space="0"/>
              </w:pBdr>
              <w:tabs>
                <w:tab w:val="left" w:pos="420"/>
              </w:tabs>
              <w:snapToGrid w:val="0"/>
              <w:spacing w:line="360" w:lineRule="auto"/>
              <w:rPr>
                <w:rFonts w:asciiTheme="minorEastAsia" w:hAnsiTheme="minorEastAsia" w:eastAsiaTheme="minorEastAsia"/>
                <w:snapToGrid w:val="0"/>
                <w:kern w:val="0"/>
                <w:sz w:val="24"/>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pStyle w:val="27"/>
              <w:adjustRightInd w:val="0"/>
              <w:snapToGrid w:val="0"/>
              <w:spacing w:line="360" w:lineRule="auto"/>
              <w:ind w:left="5250" w:leftChars="0"/>
              <w:rPr>
                <w:rFonts w:asciiTheme="minorEastAsia" w:hAnsiTheme="minorEastAsia" w:eastAsiaTheme="minorEastAsia"/>
                <w:snapToGrid w:val="0"/>
                <w:kern w:val="0"/>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735"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665" w:type="dxa"/>
            <w:vAlign w:val="center"/>
          </w:tcPr>
          <w:p>
            <w:pPr>
              <w:adjustRightInd w:val="0"/>
              <w:snapToGrid w:val="0"/>
              <w:spacing w:line="360" w:lineRule="auto"/>
              <w:jc w:val="center"/>
              <w:rPr>
                <w:rFonts w:asciiTheme="minorEastAsia" w:hAnsiTheme="minorEastAsia" w:eastAsiaTheme="minorEastAsia"/>
                <w:b/>
                <w:bCs/>
                <w:snapToGrid w:val="0"/>
                <w:kern w:val="0"/>
                <w:sz w:val="24"/>
                <w:szCs w:val="20"/>
              </w:rPr>
            </w:pPr>
          </w:p>
        </w:tc>
        <w:tc>
          <w:tcPr>
            <w:tcW w:w="144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120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78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1320" w:type="dxa"/>
            <w:vAlign w:val="center"/>
          </w:tcPr>
          <w:p>
            <w:pPr>
              <w:adjustRightInd w:val="0"/>
              <w:snapToGrid w:val="0"/>
              <w:spacing w:line="360" w:lineRule="auto"/>
              <w:jc w:val="center"/>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c>
          <w:tcPr>
            <w:tcW w:w="900" w:type="dxa"/>
            <w:vAlign w:val="center"/>
          </w:tcPr>
          <w:p>
            <w:pPr>
              <w:adjustRightInd w:val="0"/>
              <w:snapToGrid w:val="0"/>
              <w:spacing w:line="360" w:lineRule="auto"/>
              <w:rPr>
                <w:rFonts w:asciiTheme="minorEastAsia" w:hAnsiTheme="minorEastAsia" w:eastAsiaTheme="minorEastAsia"/>
                <w:snapToGrid w:val="0"/>
                <w:kern w:val="0"/>
                <w:sz w:val="24"/>
                <w:szCs w:val="20"/>
              </w:rPr>
            </w:pPr>
          </w:p>
        </w:tc>
      </w:tr>
    </w:tbl>
    <w:p>
      <w:pPr>
        <w:pStyle w:val="25"/>
        <w:adjustRightInd w:val="0"/>
        <w:snapToGrid w:val="0"/>
        <w:spacing w:line="360" w:lineRule="auto"/>
        <w:rPr>
          <w:rFonts w:asciiTheme="minorEastAsia" w:hAnsiTheme="minorEastAsia" w:eastAsiaTheme="minorEastAsia"/>
          <w:snapToGrid w:val="0"/>
          <w:kern w:val="0"/>
          <w:sz w:val="24"/>
        </w:rPr>
      </w:pPr>
    </w:p>
    <w:p>
      <w:pPr>
        <w:adjustRightInd w:val="0"/>
        <w:snapToGri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注：1. 投标人根据实际情况填写。</w:t>
      </w:r>
    </w:p>
    <w:p>
      <w:pPr>
        <w:adjustRightInd w:val="0"/>
        <w:snapToGrid w:val="0"/>
        <w:spacing w:line="360" w:lineRule="auto"/>
        <w:rPr>
          <w:rFonts w:asciiTheme="minorEastAsia" w:hAnsiTheme="minorEastAsia" w:eastAsiaTheme="minorEastAsia"/>
          <w:snapToGrid w:val="0"/>
          <w:kern w:val="0"/>
          <w:sz w:val="24"/>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法定代表人或授权代表(签字或盖章)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日  期：</w:t>
      </w: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jc w:val="left"/>
        <w:rPr>
          <w:rFonts w:asciiTheme="minorEastAsia" w:hAnsiTheme="minorEastAsia" w:eastAsiaTheme="minorEastAsia"/>
          <w:b/>
          <w:snapToGrid w:val="0"/>
          <w:kern w:val="0"/>
          <w:sz w:val="18"/>
          <w:szCs w:val="18"/>
        </w:rPr>
      </w:pPr>
      <w:r>
        <w:rPr>
          <w:rFonts w:hint="eastAsia" w:asciiTheme="minorEastAsia" w:hAnsiTheme="minorEastAsia" w:eastAsiaTheme="minorEastAsia"/>
          <w:b/>
          <w:snapToGrid w:val="0"/>
          <w:kern w:val="0"/>
          <w:sz w:val="18"/>
          <w:szCs w:val="18"/>
        </w:rPr>
        <w:t>2.4小微企业资格证明材料、监狱企业资格证明材料</w:t>
      </w:r>
    </w:p>
    <w:p>
      <w:pPr>
        <w:pStyle w:val="34"/>
        <w:spacing w:line="360" w:lineRule="auto"/>
        <w:ind w:left="169" w:hanging="169" w:hangingChars="74"/>
        <w:jc w:val="center"/>
        <w:rPr>
          <w:rFonts w:asciiTheme="minorEastAsia" w:hAnsiTheme="minorEastAsia" w:eastAsiaTheme="minorEastAsia"/>
          <w:b/>
          <w:spacing w:val="-6"/>
          <w:sz w:val="24"/>
        </w:rPr>
      </w:pPr>
    </w:p>
    <w:p>
      <w:pPr>
        <w:pStyle w:val="34"/>
        <w:spacing w:line="360" w:lineRule="auto"/>
        <w:ind w:left="169" w:hanging="169" w:hangingChars="74"/>
        <w:jc w:val="center"/>
        <w:rPr>
          <w:rFonts w:asciiTheme="minorEastAsia" w:hAnsiTheme="minorEastAsia" w:eastAsiaTheme="minorEastAsia"/>
          <w:b/>
          <w:spacing w:val="-6"/>
          <w:sz w:val="24"/>
        </w:rPr>
      </w:pPr>
      <w:r>
        <w:rPr>
          <w:rFonts w:hint="eastAsia" w:asciiTheme="minorEastAsia" w:hAnsiTheme="minorEastAsia" w:eastAsiaTheme="minorEastAsia"/>
          <w:b/>
          <w:spacing w:val="-6"/>
          <w:sz w:val="24"/>
        </w:rPr>
        <w:t>投标人企业类型声明函</w:t>
      </w:r>
    </w:p>
    <w:p>
      <w:pPr>
        <w:pStyle w:val="34"/>
        <w:spacing w:line="360" w:lineRule="auto"/>
        <w:ind w:left="169" w:hanging="169" w:hangingChars="74"/>
        <w:rPr>
          <w:rFonts w:asciiTheme="minorEastAsia" w:hAnsiTheme="minorEastAsia" w:eastAsiaTheme="minorEastAsia"/>
          <w:b/>
          <w:spacing w:val="-6"/>
          <w:sz w:val="24"/>
        </w:rPr>
      </w:pP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本公司郑重声明，根据《政府采购促进中小企业发展暂行办法》（财库</w:t>
      </w:r>
      <w:r>
        <w:rPr>
          <w:rFonts w:asciiTheme="minorEastAsia" w:hAnsiTheme="minorEastAsia" w:eastAsiaTheme="minorEastAsia"/>
          <w:szCs w:val="21"/>
        </w:rPr>
        <w:t>[</w:t>
      </w:r>
      <w:r>
        <w:rPr>
          <w:rFonts w:hint="eastAsia" w:asciiTheme="minorEastAsia" w:hAnsiTheme="minorEastAsia" w:eastAsiaTheme="minorEastAsia"/>
          <w:szCs w:val="21"/>
        </w:rPr>
        <w:t>2011</w:t>
      </w:r>
      <w:r>
        <w:rPr>
          <w:rFonts w:asciiTheme="minorEastAsia" w:hAnsiTheme="minorEastAsia" w:eastAsiaTheme="minorEastAsia"/>
          <w:szCs w:val="21"/>
        </w:rPr>
        <w:t>]</w:t>
      </w:r>
      <w:r>
        <w:rPr>
          <w:rFonts w:hint="eastAsia" w:asciiTheme="minorEastAsia" w:hAnsiTheme="minorEastAsia" w:eastAsiaTheme="minorEastAsia"/>
          <w:szCs w:val="21"/>
        </w:rPr>
        <w:t>181号）的规定，本公司为______（请填写：大型、中型、小型、微型）企业。即，本公司同时满足以下条件：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根据《工业和信息化部、国家统计局、国家发展和改革委员会、财政部关于印发中小企业划型标准规定的通知》（工信部联企业[2011]300号）规定的划分标准，本公司为______（请填写：大型、中型、小型、微型）企业。</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本公司参加杭州市水文水资源监测总站的          采购活动（按投标形式选择填写）：</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（1）□本公司为直接投标人提供本企业制造的货物，由本企业承担工程、提供服务。</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（2）□本公司为代理商，提供其他______（请填写：中型、小型、微型）企业制造的货物。本条所称货物不包括使用大型企业注册商标的货物。</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本公司对上述声明的真实性负责。如有虚假，将依法承担相应责任。</w:t>
      </w: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p>
    <w:p>
      <w:pPr>
        <w:spacing w:line="360" w:lineRule="auto"/>
        <w:jc w:val="right"/>
        <w:rPr>
          <w:rFonts w:asciiTheme="minorEastAsia" w:hAnsiTheme="minorEastAsia" w:eastAsiaTheme="minorEastAsia"/>
          <w:spacing w:val="-6"/>
          <w:szCs w:val="21"/>
        </w:rPr>
      </w:pPr>
    </w:p>
    <w:p>
      <w:pPr>
        <w:spacing w:line="360" w:lineRule="auto"/>
        <w:jc w:val="right"/>
        <w:rPr>
          <w:rFonts w:asciiTheme="minorEastAsia" w:hAnsiTheme="minorEastAsia" w:eastAsiaTheme="minorEastAsia"/>
          <w:spacing w:val="-6"/>
          <w:szCs w:val="21"/>
        </w:rPr>
      </w:pPr>
      <w:r>
        <w:rPr>
          <w:rFonts w:hint="eastAsia" w:asciiTheme="minorEastAsia" w:hAnsiTheme="minorEastAsia" w:eastAsiaTheme="minorEastAsia"/>
          <w:spacing w:val="-6"/>
          <w:szCs w:val="21"/>
        </w:rPr>
        <w:t xml:space="preserve">投标人名称（盖章）： </w:t>
      </w:r>
    </w:p>
    <w:p>
      <w:pPr>
        <w:spacing w:line="360" w:lineRule="auto"/>
        <w:jc w:val="right"/>
        <w:rPr>
          <w:rFonts w:asciiTheme="minorEastAsia" w:hAnsiTheme="minorEastAsia" w:eastAsiaTheme="minorEastAsia"/>
          <w:spacing w:val="-6"/>
          <w:szCs w:val="21"/>
        </w:rPr>
      </w:pPr>
      <w:r>
        <w:rPr>
          <w:rFonts w:hint="eastAsia" w:asciiTheme="minorEastAsia" w:hAnsiTheme="minorEastAsia" w:eastAsiaTheme="minorEastAsia"/>
          <w:spacing w:val="-6"/>
          <w:szCs w:val="21"/>
        </w:rPr>
        <w:t>授权代表签字：</w:t>
      </w:r>
    </w:p>
    <w:p>
      <w:pPr>
        <w:spacing w:line="360" w:lineRule="auto"/>
        <w:jc w:val="right"/>
        <w:rPr>
          <w:rFonts w:asciiTheme="minorEastAsia" w:hAnsiTheme="minorEastAsia" w:eastAsiaTheme="minorEastAsia"/>
          <w:spacing w:val="-6"/>
          <w:szCs w:val="21"/>
        </w:rPr>
      </w:pPr>
      <w:r>
        <w:rPr>
          <w:rFonts w:hint="eastAsia" w:asciiTheme="minorEastAsia" w:hAnsiTheme="minorEastAsia" w:eastAsiaTheme="minorEastAsia"/>
          <w:spacing w:val="-6"/>
          <w:szCs w:val="21"/>
        </w:rPr>
        <w:t>日期：  年  月  日</w:t>
      </w:r>
    </w:p>
    <w:p>
      <w:pPr>
        <w:spacing w:line="360" w:lineRule="auto"/>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小微企业资格证明材料</w:t>
      </w:r>
    </w:p>
    <w:p>
      <w:p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说明</w:t>
      </w:r>
      <w:r>
        <w:rPr>
          <w:rFonts w:asciiTheme="minorEastAsia" w:hAnsiTheme="minorEastAsia" w:eastAsiaTheme="minorEastAsia"/>
          <w:b/>
          <w:bCs/>
          <w:szCs w:val="21"/>
        </w:rPr>
        <w:t>：</w:t>
      </w:r>
    </w:p>
    <w:p>
      <w:pPr>
        <w:numPr>
          <w:ilvl w:val="0"/>
          <w:numId w:val="5"/>
        </w:numPr>
        <w:spacing w:line="360" w:lineRule="auto"/>
        <w:rPr>
          <w:rFonts w:asciiTheme="minorEastAsia" w:hAnsiTheme="minorEastAsia" w:eastAsiaTheme="minorEastAsia"/>
          <w:b/>
          <w:bCs/>
          <w:szCs w:val="21"/>
        </w:rPr>
      </w:pPr>
      <w:r>
        <w:rPr>
          <w:rFonts w:asciiTheme="minorEastAsia" w:hAnsiTheme="minorEastAsia" w:eastAsiaTheme="minorEastAsia"/>
          <w:b/>
          <w:bCs/>
          <w:szCs w:val="21"/>
        </w:rPr>
        <w:t>如投标人为代理商</w:t>
      </w:r>
      <w:r>
        <w:rPr>
          <w:rFonts w:hint="eastAsia" w:asciiTheme="minorEastAsia" w:hAnsiTheme="minorEastAsia" w:eastAsiaTheme="minorEastAsia"/>
          <w:b/>
          <w:bCs/>
          <w:szCs w:val="21"/>
        </w:rPr>
        <w:t>且提供</w:t>
      </w:r>
      <w:r>
        <w:rPr>
          <w:rFonts w:asciiTheme="minorEastAsia" w:hAnsiTheme="minorEastAsia" w:eastAsiaTheme="minorEastAsia"/>
          <w:b/>
          <w:bCs/>
          <w:szCs w:val="21"/>
        </w:rPr>
        <w:t>的是小型、微型</w:t>
      </w:r>
      <w:r>
        <w:rPr>
          <w:rFonts w:hint="eastAsia" w:asciiTheme="minorEastAsia" w:hAnsiTheme="minorEastAsia" w:eastAsiaTheme="minorEastAsia"/>
          <w:b/>
          <w:bCs/>
          <w:szCs w:val="21"/>
        </w:rPr>
        <w:t>企业</w:t>
      </w:r>
      <w:r>
        <w:rPr>
          <w:rFonts w:asciiTheme="minorEastAsia" w:hAnsiTheme="minorEastAsia" w:eastAsiaTheme="minorEastAsia"/>
          <w:b/>
          <w:bCs/>
          <w:szCs w:val="21"/>
        </w:rPr>
        <w:t>制造的货物的，除提供自身小微企业资格证明材料外还须提供</w:t>
      </w:r>
      <w:r>
        <w:rPr>
          <w:rFonts w:hint="eastAsia" w:asciiTheme="minorEastAsia" w:hAnsiTheme="minorEastAsia" w:eastAsiaTheme="minorEastAsia"/>
          <w:b/>
          <w:bCs/>
          <w:szCs w:val="21"/>
        </w:rPr>
        <w:t>所</w:t>
      </w:r>
      <w:r>
        <w:rPr>
          <w:rFonts w:asciiTheme="minorEastAsia" w:hAnsiTheme="minorEastAsia" w:eastAsiaTheme="minorEastAsia"/>
          <w:b/>
          <w:bCs/>
          <w:szCs w:val="21"/>
        </w:rPr>
        <w:t>代理品牌</w:t>
      </w:r>
      <w:r>
        <w:rPr>
          <w:rFonts w:hint="eastAsia" w:asciiTheme="minorEastAsia" w:hAnsiTheme="minorEastAsia" w:eastAsiaTheme="minorEastAsia"/>
          <w:b/>
          <w:bCs/>
          <w:szCs w:val="21"/>
        </w:rPr>
        <w:t>制造</w:t>
      </w:r>
      <w:r>
        <w:rPr>
          <w:rFonts w:asciiTheme="minorEastAsia" w:hAnsiTheme="minorEastAsia" w:eastAsiaTheme="minorEastAsia"/>
          <w:b/>
          <w:bCs/>
          <w:szCs w:val="21"/>
        </w:rPr>
        <w:t>商小微企业资格证明材料</w:t>
      </w:r>
      <w:r>
        <w:rPr>
          <w:rFonts w:hint="eastAsia" w:asciiTheme="minorEastAsia" w:hAnsiTheme="minorEastAsia" w:eastAsiaTheme="minorEastAsia"/>
          <w:b/>
          <w:bCs/>
          <w:szCs w:val="21"/>
        </w:rPr>
        <w:t>；</w:t>
      </w:r>
    </w:p>
    <w:p>
      <w:pPr>
        <w:numPr>
          <w:ilvl w:val="0"/>
          <w:numId w:val="5"/>
        </w:num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小微企业</w:t>
      </w:r>
      <w:r>
        <w:rPr>
          <w:rFonts w:asciiTheme="minorEastAsia" w:hAnsiTheme="minorEastAsia" w:eastAsiaTheme="minorEastAsia"/>
          <w:b/>
          <w:bCs/>
          <w:szCs w:val="21"/>
        </w:rPr>
        <w:t>资格证明材料中</w:t>
      </w:r>
      <w:r>
        <w:rPr>
          <w:rFonts w:hint="eastAsia" w:asciiTheme="minorEastAsia" w:hAnsiTheme="minorEastAsia" w:eastAsiaTheme="minorEastAsia"/>
          <w:b/>
          <w:bCs/>
          <w:szCs w:val="21"/>
        </w:rPr>
        <w:t>认定</w:t>
      </w:r>
      <w:r>
        <w:rPr>
          <w:rFonts w:asciiTheme="minorEastAsia" w:hAnsiTheme="minorEastAsia" w:eastAsiaTheme="minorEastAsia"/>
          <w:b/>
          <w:bCs/>
          <w:szCs w:val="21"/>
        </w:rPr>
        <w:t>情形为</w:t>
      </w:r>
      <w:r>
        <w:rPr>
          <w:rFonts w:hint="eastAsia" w:asciiTheme="minorEastAsia" w:hAnsiTheme="minorEastAsia" w:eastAsiaTheme="minorEastAsia"/>
          <w:b/>
          <w:bCs/>
          <w:szCs w:val="21"/>
        </w:rPr>
        <w:t>“中小</w:t>
      </w:r>
      <w:r>
        <w:rPr>
          <w:rFonts w:asciiTheme="minorEastAsia" w:hAnsiTheme="minorEastAsia" w:eastAsiaTheme="minorEastAsia"/>
          <w:b/>
          <w:bCs/>
          <w:szCs w:val="21"/>
        </w:rPr>
        <w:t>企业</w:t>
      </w:r>
      <w:r>
        <w:rPr>
          <w:rFonts w:hint="eastAsia" w:asciiTheme="minorEastAsia" w:hAnsiTheme="minorEastAsia" w:eastAsiaTheme="minorEastAsia"/>
          <w:b/>
          <w:bCs/>
          <w:szCs w:val="21"/>
        </w:rPr>
        <w:t>”等</w:t>
      </w:r>
      <w:r>
        <w:rPr>
          <w:rFonts w:asciiTheme="minorEastAsia" w:hAnsiTheme="minorEastAsia" w:eastAsiaTheme="minorEastAsia"/>
          <w:b/>
          <w:bCs/>
          <w:szCs w:val="21"/>
        </w:rPr>
        <w:t>无法界定投标人</w:t>
      </w:r>
      <w:r>
        <w:rPr>
          <w:rFonts w:hint="eastAsia" w:asciiTheme="minorEastAsia" w:hAnsiTheme="minorEastAsia" w:eastAsiaTheme="minorEastAsia"/>
          <w:b/>
          <w:bCs/>
          <w:szCs w:val="21"/>
        </w:rPr>
        <w:t>或</w:t>
      </w:r>
      <w:r>
        <w:rPr>
          <w:rFonts w:asciiTheme="minorEastAsia" w:hAnsiTheme="minorEastAsia" w:eastAsiaTheme="minorEastAsia"/>
          <w:b/>
          <w:bCs/>
          <w:szCs w:val="21"/>
        </w:rPr>
        <w:t>其代理品牌制造商</w:t>
      </w:r>
      <w:r>
        <w:rPr>
          <w:rFonts w:hint="eastAsia" w:asciiTheme="minorEastAsia" w:hAnsiTheme="minorEastAsia" w:eastAsiaTheme="minorEastAsia"/>
          <w:b/>
          <w:bCs/>
          <w:szCs w:val="21"/>
        </w:rPr>
        <w:t>具体</w:t>
      </w:r>
      <w:r>
        <w:rPr>
          <w:rFonts w:asciiTheme="minorEastAsia" w:hAnsiTheme="minorEastAsia" w:eastAsiaTheme="minorEastAsia"/>
          <w:b/>
          <w:bCs/>
          <w:szCs w:val="21"/>
        </w:rPr>
        <w:t>企业类型的均为无效</w:t>
      </w:r>
      <w:r>
        <w:rPr>
          <w:rFonts w:hint="eastAsia" w:asciiTheme="minorEastAsia" w:hAnsiTheme="minorEastAsia" w:eastAsiaTheme="minorEastAsia"/>
          <w:b/>
          <w:bCs/>
          <w:szCs w:val="21"/>
        </w:rPr>
        <w:t>证明</w:t>
      </w:r>
      <w:r>
        <w:rPr>
          <w:rFonts w:asciiTheme="minorEastAsia" w:hAnsiTheme="minorEastAsia" w:eastAsiaTheme="minorEastAsia"/>
          <w:b/>
          <w:bCs/>
          <w:szCs w:val="21"/>
        </w:rPr>
        <w:t>材料。</w:t>
      </w:r>
    </w:p>
    <w:p>
      <w:pPr>
        <w:spacing w:line="360" w:lineRule="auto"/>
        <w:rPr>
          <w:rFonts w:asciiTheme="minorEastAsia" w:hAnsiTheme="minorEastAsia" w:eastAsiaTheme="minorEastAsia"/>
          <w:b/>
          <w:bCs/>
          <w:szCs w:val="21"/>
        </w:rPr>
      </w:pPr>
    </w:p>
    <w:p>
      <w:pPr>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监狱企业资格证明材料（省级以上监狱管理局、戒毒管理局（含新疆生产建设兵团）出具的属于监狱企业的证明文件）</w:t>
      </w:r>
    </w:p>
    <w:p>
      <w:pPr>
        <w:pStyle w:val="25"/>
        <w:spacing w:line="360" w:lineRule="auto"/>
        <w:rPr>
          <w:rFonts w:asciiTheme="minorEastAsia" w:hAnsiTheme="minorEastAsia" w:eastAsiaTheme="minorEastAsia"/>
          <w:spacing w:val="-6"/>
        </w:rPr>
      </w:pPr>
      <w:r>
        <w:rPr>
          <w:rFonts w:hint="eastAsia" w:cs="宋体" w:asciiTheme="minorEastAsia" w:hAnsiTheme="minorEastAsia" w:eastAsiaTheme="minorEastAsia"/>
          <w:b/>
          <w:bCs/>
        </w:rPr>
        <w:t>说明：监狱企业视同小型、微型企业。</w:t>
      </w: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p>
    <w:p>
      <w:pPr>
        <w:adjustRightInd w:val="0"/>
        <w:snapToGrid w:val="0"/>
        <w:spacing w:line="360" w:lineRule="auto"/>
        <w:ind w:firstLine="420" w:firstLineChars="200"/>
        <w:rPr>
          <w:rFonts w:asciiTheme="minorEastAsia" w:hAnsiTheme="minorEastAsia" w:eastAsiaTheme="minorEastAsia"/>
          <w:snapToGrid w:val="0"/>
          <w:kern w:val="0"/>
        </w:rPr>
      </w:pPr>
    </w:p>
    <w:p>
      <w:pPr>
        <w:pStyle w:val="4"/>
        <w:snapToGrid w:val="0"/>
        <w:spacing w:before="0" w:after="0" w:line="360" w:lineRule="auto"/>
        <w:rPr>
          <w:rFonts w:asciiTheme="minorEastAsia" w:hAnsiTheme="minorEastAsia" w:eastAsiaTheme="minorEastAsia"/>
          <w:b w:val="0"/>
          <w:snapToGrid w:val="0"/>
          <w:kern w:val="0"/>
          <w:sz w:val="36"/>
          <w:szCs w:val="36"/>
        </w:rPr>
      </w:pPr>
      <w:r>
        <w:rPr>
          <w:rFonts w:hint="eastAsia" w:asciiTheme="minorEastAsia" w:hAnsiTheme="minorEastAsia" w:eastAsiaTheme="minorEastAsia"/>
          <w:snapToGrid w:val="0"/>
          <w:kern w:val="0"/>
        </w:rPr>
        <w:br w:type="page"/>
      </w:r>
      <w:bookmarkStart w:id="166" w:name="_Toc293401394"/>
      <w:bookmarkStart w:id="167" w:name="_Toc23154241"/>
      <w:r>
        <w:rPr>
          <w:rFonts w:hint="eastAsia" w:asciiTheme="minorEastAsia" w:hAnsiTheme="minorEastAsia" w:eastAsiaTheme="minorEastAsia"/>
          <w:snapToGrid w:val="0"/>
          <w:kern w:val="0"/>
          <w:sz w:val="21"/>
          <w:szCs w:val="21"/>
        </w:rPr>
        <w:t>三、商务文件</w:t>
      </w:r>
      <w:bookmarkEnd w:id="166"/>
      <w:bookmarkEnd w:id="167"/>
    </w:p>
    <w:p>
      <w:pPr>
        <w:autoSpaceDE w:val="0"/>
        <w:autoSpaceDN w:val="0"/>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3.1 投标人基本情况</w:t>
      </w:r>
    </w:p>
    <w:p>
      <w:pPr>
        <w:adjustRightInd w:val="0"/>
        <w:snapToGrid w:val="0"/>
        <w:spacing w:line="360" w:lineRule="auto"/>
        <w:jc w:val="center"/>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投标人基本情况表</w:t>
      </w:r>
    </w:p>
    <w:p>
      <w:pPr>
        <w:adjustRightInd w:val="0"/>
        <w:snapToGrid w:val="0"/>
        <w:spacing w:line="360" w:lineRule="auto"/>
        <w:ind w:firstLine="1465" w:firstLineChars="695"/>
        <w:rPr>
          <w:rFonts w:asciiTheme="minorEastAsia" w:hAnsiTheme="minorEastAsia" w:eastAsiaTheme="minorEastAsia"/>
          <w:b/>
          <w:snapToGrid w:val="0"/>
          <w:kern w:val="0"/>
          <w:szCs w:val="21"/>
        </w:rPr>
      </w:pPr>
    </w:p>
    <w:tbl>
      <w:tblPr>
        <w:tblStyle w:val="45"/>
        <w:tblW w:w="886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9"/>
        <w:gridCol w:w="1693"/>
        <w:gridCol w:w="1948"/>
        <w:gridCol w:w="682"/>
        <w:gridCol w:w="68"/>
        <w:gridCol w:w="869"/>
        <w:gridCol w:w="1154"/>
        <w:gridCol w:w="7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单位名称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单位地址 </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2"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联系电话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联系人</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成立时间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注册资金(万元) </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2023"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固定资产(万元) </w:t>
            </w:r>
          </w:p>
        </w:tc>
        <w:tc>
          <w:tcPr>
            <w:tcW w:w="7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法人代表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技术负责人 </w:t>
            </w:r>
          </w:p>
        </w:tc>
        <w:tc>
          <w:tcPr>
            <w:tcW w:w="3515"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70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资质等级情况 </w:t>
            </w: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资质名称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颁发部门 </w:t>
            </w:r>
          </w:p>
        </w:tc>
        <w:tc>
          <w:tcPr>
            <w:tcW w:w="161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资质等级 </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颁发时间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5" w:hRule="atLeast"/>
          <w:jc w:val="center"/>
        </w:trPr>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cs="宋体" w:asciiTheme="minorEastAsia" w:hAnsiTheme="minorEastAsia" w:eastAsiaTheme="minorEastAsia"/>
                <w:snapToGrid w:val="0"/>
                <w:kern w:val="0"/>
                <w:szCs w:val="21"/>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61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82" w:hRule="atLeast"/>
          <w:jc w:val="center"/>
        </w:trPr>
        <w:tc>
          <w:tcPr>
            <w:tcW w:w="170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left"/>
              <w:rPr>
                <w:rFonts w:cs="宋体" w:asciiTheme="minorEastAsia" w:hAnsiTheme="minorEastAsia" w:eastAsiaTheme="minorEastAsia"/>
                <w:snapToGrid w:val="0"/>
                <w:kern w:val="0"/>
                <w:szCs w:val="21"/>
              </w:rPr>
            </w:pPr>
          </w:p>
        </w:tc>
        <w:tc>
          <w:tcPr>
            <w:tcW w:w="1693"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94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619"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c>
          <w:tcPr>
            <w:tcW w:w="1896"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7" w:hRule="atLeast"/>
          <w:jc w:val="center"/>
        </w:trPr>
        <w:tc>
          <w:tcPr>
            <w:tcW w:w="6032"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投标人近三年有无不良记录或因招投标违规涉及司法诉讼情况 </w:t>
            </w:r>
          </w:p>
        </w:tc>
        <w:tc>
          <w:tcPr>
            <w:tcW w:w="2833"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有（   ），无（   ）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5" w:hRule="atLeast"/>
          <w:jc w:val="center"/>
        </w:trPr>
        <w:tc>
          <w:tcPr>
            <w:tcW w:w="1709" w:type="dxa"/>
            <w:tcBorders>
              <w:top w:val="single" w:color="auto" w:sz="4" w:space="0"/>
              <w:left w:val="single" w:color="auto" w:sz="4" w:space="0"/>
              <w:right w:val="single" w:color="auto" w:sz="4" w:space="0"/>
            </w:tcBorders>
            <w:vAlign w:val="center"/>
          </w:tcPr>
          <w:p>
            <w:pPr>
              <w:widowControl/>
              <w:adjustRightInd w:val="0"/>
              <w:snapToGrid w:val="0"/>
              <w:spacing w:line="360" w:lineRule="auto"/>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投标人近三年承担过的类似供货业绩</w:t>
            </w:r>
          </w:p>
          <w:p>
            <w:pPr>
              <w:adjustRightInd w:val="0"/>
              <w:snapToGrid w:val="0"/>
              <w:spacing w:line="360" w:lineRule="auto"/>
              <w:jc w:val="center"/>
              <w:rPr>
                <w:rFonts w:cs="宋体" w:asciiTheme="minorEastAsia" w:hAnsiTheme="minorEastAsia" w:eastAsiaTheme="minorEastAsia"/>
                <w:snapToGrid w:val="0"/>
                <w:kern w:val="0"/>
                <w:szCs w:val="21"/>
              </w:rPr>
            </w:pPr>
          </w:p>
        </w:tc>
        <w:tc>
          <w:tcPr>
            <w:tcW w:w="7156" w:type="dxa"/>
            <w:gridSpan w:val="7"/>
            <w:tcBorders>
              <w:top w:val="single" w:color="auto" w:sz="4" w:space="0"/>
              <w:left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widowControl/>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widowControl/>
              <w:adjustRightInd w:val="0"/>
              <w:snapToGrid w:val="0"/>
              <w:spacing w:line="360" w:lineRule="auto"/>
              <w:jc w:val="center"/>
              <w:rPr>
                <w:rFonts w:asciiTheme="minorEastAsia" w:hAnsiTheme="minorEastAsia" w:eastAsiaTheme="minorEastAsia"/>
                <w:snapToGrid w:val="0"/>
                <w:kern w:val="0"/>
                <w:szCs w:val="21"/>
              </w:rPr>
            </w:pPr>
          </w:p>
          <w:p>
            <w:pPr>
              <w:widowControl/>
              <w:adjustRightInd w:val="0"/>
              <w:snapToGrid w:val="0"/>
              <w:spacing w:line="360" w:lineRule="auto"/>
              <w:jc w:val="center"/>
              <w:rPr>
                <w:rFonts w:asciiTheme="minorEastAsia" w:hAnsiTheme="minorEastAsia" w:eastAsiaTheme="minorEastAsia"/>
                <w:snapToGrid w:val="0"/>
                <w:kern w:val="0"/>
                <w:szCs w:val="21"/>
              </w:rPr>
            </w:pPr>
          </w:p>
          <w:p>
            <w:pPr>
              <w:widowControl/>
              <w:adjustRightInd w:val="0"/>
              <w:snapToGrid w:val="0"/>
              <w:spacing w:line="360" w:lineRule="auto"/>
              <w:jc w:val="center"/>
              <w:rPr>
                <w:rFonts w:cs="宋体" w:asciiTheme="minorEastAsia" w:hAnsiTheme="minorEastAsia" w:eastAsiaTheme="minorEastAsia"/>
                <w:snapToGrid w:val="0"/>
                <w:kern w:val="0"/>
                <w:szCs w:val="21"/>
              </w:rPr>
            </w:pPr>
          </w:p>
          <w:p>
            <w:pPr>
              <w:widowControl/>
              <w:adjustRightInd w:val="0"/>
              <w:snapToGrid w:val="0"/>
              <w:spacing w:line="360" w:lineRule="auto"/>
              <w:jc w:val="center"/>
              <w:rPr>
                <w:rFonts w:cs="宋体" w:asciiTheme="minorEastAsia" w:hAnsiTheme="minorEastAsia" w:eastAsiaTheme="minorEastAsia"/>
                <w:snapToGrid w:val="0"/>
                <w:kern w:val="0"/>
                <w:szCs w:val="21"/>
              </w:rPr>
            </w:pPr>
          </w:p>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06" w:hRule="atLeast"/>
          <w:jc w:val="center"/>
        </w:trPr>
        <w:tc>
          <w:tcPr>
            <w:tcW w:w="170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其他有竞争力 </w:t>
            </w:r>
          </w:p>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的说明 </w:t>
            </w:r>
          </w:p>
        </w:tc>
        <w:tc>
          <w:tcPr>
            <w:tcW w:w="7156"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widowControl/>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p>
            <w:pPr>
              <w:widowControl/>
              <w:adjustRightInd w:val="0"/>
              <w:snapToGrid w:val="0"/>
              <w:spacing w:line="360" w:lineRule="auto"/>
              <w:jc w:val="center"/>
              <w:rPr>
                <w:rFonts w:asciiTheme="minorEastAsia" w:hAnsiTheme="minorEastAsia" w:eastAsiaTheme="minorEastAsia"/>
                <w:snapToGrid w:val="0"/>
                <w:kern w:val="0"/>
                <w:szCs w:val="21"/>
              </w:rPr>
            </w:pPr>
          </w:p>
          <w:p>
            <w:pPr>
              <w:widowControl/>
              <w:adjustRightInd w:val="0"/>
              <w:snapToGrid w:val="0"/>
              <w:spacing w:line="360" w:lineRule="auto"/>
              <w:jc w:val="center"/>
              <w:rPr>
                <w:rFonts w:cs="宋体" w:asciiTheme="minorEastAsia" w:hAnsiTheme="minorEastAsia" w:eastAsiaTheme="minorEastAsia"/>
                <w:snapToGrid w:val="0"/>
                <w:kern w:val="0"/>
                <w:szCs w:val="21"/>
              </w:rPr>
            </w:pPr>
          </w:p>
          <w:p>
            <w:pPr>
              <w:widowControl/>
              <w:adjustRightInd w:val="0"/>
              <w:snapToGrid w:val="0"/>
              <w:spacing w:line="360" w:lineRule="auto"/>
              <w:jc w:val="center"/>
              <w:rPr>
                <w:rFonts w:cs="宋体"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w:t>
            </w:r>
          </w:p>
        </w:tc>
      </w:tr>
    </w:tbl>
    <w:p>
      <w:pPr>
        <w:autoSpaceDE w:val="0"/>
        <w:autoSpaceDN w:val="0"/>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ind w:left="630" w:hanging="630" w:hangingChars="300"/>
        <w:rPr>
          <w:rFonts w:asciiTheme="minorEastAsia" w:hAnsiTheme="minorEastAsia" w:eastAsiaTheme="minorEastAsia"/>
          <w:b/>
          <w:bCs/>
          <w:snapToGrid w:val="0"/>
          <w:kern w:val="0"/>
          <w:szCs w:val="21"/>
        </w:rPr>
      </w:pPr>
      <w:r>
        <w:rPr>
          <w:rFonts w:hint="eastAsia" w:asciiTheme="minorEastAsia" w:hAnsiTheme="minorEastAsia" w:eastAsiaTheme="minorEastAsia"/>
          <w:snapToGrid w:val="0"/>
          <w:kern w:val="0"/>
          <w:szCs w:val="21"/>
        </w:rPr>
        <w:t>说明：后面应附上加盖公章的营业执照副本、相关资质类证书的清晰复印件。</w:t>
      </w: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Cs/>
          <w:snapToGrid w:val="0"/>
          <w:kern w:val="0"/>
          <w:szCs w:val="21"/>
        </w:rPr>
      </w:pPr>
      <w:r>
        <w:rPr>
          <w:rFonts w:hint="eastAsia" w:asciiTheme="minorEastAsia" w:hAnsiTheme="minorEastAsia" w:eastAsiaTheme="minorEastAsia"/>
          <w:b/>
          <w:bCs/>
          <w:snapToGrid w:val="0"/>
          <w:kern w:val="0"/>
          <w:szCs w:val="21"/>
        </w:rPr>
        <w:t>3.2</w:t>
      </w:r>
      <w:r>
        <w:rPr>
          <w:rFonts w:hint="eastAsia" w:asciiTheme="minorEastAsia" w:hAnsiTheme="minorEastAsia" w:eastAsiaTheme="minorEastAsia"/>
          <w:b/>
          <w:snapToGrid w:val="0"/>
          <w:kern w:val="0"/>
          <w:szCs w:val="21"/>
        </w:rPr>
        <w:t>法定代表人资格证明及授权委托书</w:t>
      </w: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附件3.2.1</w:t>
      </w:r>
    </w:p>
    <w:p>
      <w:pPr>
        <w:pStyle w:val="20"/>
        <w:snapToGrid w:val="0"/>
        <w:ind w:firstLine="0"/>
        <w:jc w:val="center"/>
        <w:rPr>
          <w:rFonts w:asciiTheme="minorEastAsia" w:hAnsiTheme="minorEastAsia" w:eastAsiaTheme="minorEastAsia"/>
          <w:b/>
          <w:bCs/>
          <w:snapToGrid w:val="0"/>
          <w:kern w:val="0"/>
          <w:sz w:val="28"/>
          <w:szCs w:val="28"/>
        </w:rPr>
      </w:pPr>
      <w:r>
        <w:rPr>
          <w:rFonts w:hint="eastAsia" w:cs="宋体" w:asciiTheme="minorEastAsia" w:hAnsiTheme="minorEastAsia" w:eastAsiaTheme="minorEastAsia"/>
          <w:b/>
          <w:bCs/>
          <w:snapToGrid w:val="0"/>
          <w:kern w:val="0"/>
          <w:sz w:val="28"/>
          <w:szCs w:val="28"/>
        </w:rPr>
        <w:t>法定代表人资格证明书</w:t>
      </w:r>
    </w:p>
    <w:p>
      <w:pPr>
        <w:pStyle w:val="20"/>
        <w:snapToGrid w:val="0"/>
        <w:rPr>
          <w:rFonts w:asciiTheme="minorEastAsia" w:hAnsiTheme="minorEastAsia" w:eastAsiaTheme="minorEastAsia"/>
          <w:b/>
          <w:bCs/>
          <w:snapToGrid w:val="0"/>
          <w:kern w:val="0"/>
          <w:sz w:val="36"/>
        </w:rPr>
      </w:pPr>
    </w:p>
    <w:p>
      <w:pPr>
        <w:pStyle w:val="20"/>
        <w:snapToGrid w:val="0"/>
        <w:ind w:firstLine="420" w:firstLineChars="200"/>
        <w:rPr>
          <w:rFonts w:asciiTheme="minorEastAsia" w:hAnsiTheme="minorEastAsia" w:eastAsiaTheme="minorEastAsia"/>
          <w:snapToGrid w:val="0"/>
          <w:kern w:val="0"/>
          <w:sz w:val="21"/>
          <w:szCs w:val="21"/>
        </w:rPr>
      </w:pPr>
      <w:r>
        <w:rPr>
          <w:rFonts w:hint="eastAsia" w:cs="宋体" w:asciiTheme="minorEastAsia" w:hAnsiTheme="minorEastAsia" w:eastAsiaTheme="minorEastAsia"/>
          <w:snapToGrid w:val="0"/>
          <w:kern w:val="0"/>
          <w:sz w:val="21"/>
          <w:szCs w:val="21"/>
        </w:rPr>
        <w:t>系的法定代表人。身份证号：。</w:t>
      </w:r>
    </w:p>
    <w:p>
      <w:pPr>
        <w:pStyle w:val="20"/>
        <w:snapToGrid w:val="0"/>
        <w:rPr>
          <w:rFonts w:asciiTheme="minorEastAsia" w:hAnsiTheme="minorEastAsia" w:eastAsiaTheme="minorEastAsia"/>
          <w:snapToGrid w:val="0"/>
          <w:kern w:val="0"/>
          <w:sz w:val="21"/>
          <w:szCs w:val="21"/>
        </w:rPr>
      </w:pPr>
      <w:r>
        <w:rPr>
          <w:rFonts w:hint="eastAsia" w:cs="宋体" w:asciiTheme="minorEastAsia" w:hAnsiTheme="minorEastAsia" w:eastAsiaTheme="minorEastAsia"/>
          <w:snapToGrid w:val="0"/>
          <w:kern w:val="0"/>
          <w:sz w:val="21"/>
          <w:szCs w:val="21"/>
        </w:rPr>
        <w:t>特此证明</w:t>
      </w:r>
    </w:p>
    <w:p>
      <w:pPr>
        <w:pStyle w:val="20"/>
        <w:snapToGrid w:val="0"/>
        <w:rPr>
          <w:rFonts w:asciiTheme="minorEastAsia" w:hAnsiTheme="minorEastAsia" w:eastAsiaTheme="minorEastAsia"/>
          <w:snapToGrid w:val="0"/>
          <w:kern w:val="0"/>
          <w:sz w:val="21"/>
          <w:szCs w:val="21"/>
        </w:rPr>
      </w:pPr>
    </w:p>
    <w:p>
      <w:pPr>
        <w:pStyle w:val="20"/>
        <w:snapToGrid w:val="0"/>
        <w:rPr>
          <w:rFonts w:asciiTheme="minorEastAsia" w:hAnsiTheme="minorEastAsia" w:eastAsiaTheme="minorEastAsia"/>
          <w:snapToGrid w:val="0"/>
          <w:kern w:val="0"/>
          <w:sz w:val="21"/>
          <w:szCs w:val="21"/>
        </w:rPr>
      </w:pPr>
      <w:r>
        <w:rPr>
          <w:rFonts w:hint="eastAsia" w:cs="宋体" w:asciiTheme="minorEastAsia" w:hAnsiTheme="minorEastAsia" w:eastAsiaTheme="minorEastAsia"/>
          <w:snapToGrid w:val="0"/>
          <w:kern w:val="0"/>
          <w:sz w:val="21"/>
          <w:szCs w:val="21"/>
        </w:rPr>
        <w:t>投标人：</w:t>
      </w:r>
      <w:r>
        <w:rPr>
          <w:rFonts w:hint="eastAsia" w:asciiTheme="minorEastAsia" w:hAnsiTheme="minorEastAsia" w:eastAsiaTheme="minorEastAsia"/>
          <w:snapToGrid w:val="0"/>
          <w:kern w:val="0"/>
          <w:sz w:val="21"/>
          <w:szCs w:val="21"/>
        </w:rPr>
        <w:t>(</w:t>
      </w:r>
      <w:r>
        <w:rPr>
          <w:rFonts w:hint="eastAsia" w:cs="宋体" w:asciiTheme="minorEastAsia" w:hAnsiTheme="minorEastAsia" w:eastAsiaTheme="minorEastAsia"/>
          <w:snapToGrid w:val="0"/>
          <w:kern w:val="0"/>
          <w:sz w:val="21"/>
          <w:szCs w:val="21"/>
        </w:rPr>
        <w:t>盖公章</w:t>
      </w:r>
      <w:r>
        <w:rPr>
          <w:rFonts w:hint="eastAsia" w:asciiTheme="minorEastAsia" w:hAnsiTheme="minorEastAsia" w:eastAsiaTheme="minorEastAsia"/>
          <w:snapToGrid w:val="0"/>
          <w:kern w:val="0"/>
          <w:sz w:val="21"/>
          <w:szCs w:val="21"/>
        </w:rPr>
        <w:t>)</w:t>
      </w:r>
    </w:p>
    <w:p>
      <w:pPr>
        <w:pStyle w:val="20"/>
        <w:snapToGrid w:val="0"/>
        <w:rPr>
          <w:rFonts w:asciiTheme="minorEastAsia" w:hAnsiTheme="minorEastAsia" w:eastAsiaTheme="minorEastAsia"/>
          <w:snapToGrid w:val="0"/>
          <w:kern w:val="0"/>
          <w:sz w:val="21"/>
          <w:szCs w:val="21"/>
        </w:rPr>
      </w:pPr>
    </w:p>
    <w:p>
      <w:pPr>
        <w:pStyle w:val="20"/>
        <w:snapToGrid w:val="0"/>
        <w:rPr>
          <w:rFonts w:asciiTheme="minorEastAsia" w:hAnsiTheme="minorEastAsia" w:eastAsiaTheme="minorEastAsia"/>
          <w:snapToGrid w:val="0"/>
          <w:kern w:val="0"/>
          <w:sz w:val="21"/>
          <w:szCs w:val="21"/>
        </w:rPr>
      </w:pPr>
      <w:r>
        <w:rPr>
          <w:rFonts w:hint="eastAsia" w:cs="宋体" w:asciiTheme="minorEastAsia" w:hAnsiTheme="minorEastAsia" w:eastAsiaTheme="minorEastAsia"/>
          <w:snapToGrid w:val="0"/>
          <w:kern w:val="0"/>
          <w:sz w:val="21"/>
          <w:szCs w:val="21"/>
        </w:rPr>
        <w:t>日期：年月日</w:t>
      </w:r>
    </w:p>
    <w:p>
      <w:pPr>
        <w:adjustRightInd w:val="0"/>
        <w:snapToGrid w:val="0"/>
        <w:spacing w:line="360" w:lineRule="auto"/>
        <w:rPr>
          <w:rFonts w:asciiTheme="minorEastAsia" w:hAnsiTheme="minorEastAsia" w:eastAsiaTheme="minorEastAsia"/>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附件3.2.2</w:t>
      </w:r>
    </w:p>
    <w:p>
      <w:pPr>
        <w:adjustRightInd w:val="0"/>
        <w:snapToGrid w:val="0"/>
        <w:spacing w:line="360" w:lineRule="auto"/>
        <w:jc w:val="center"/>
        <w:rPr>
          <w:rFonts w:asciiTheme="minorEastAsia" w:hAnsiTheme="minorEastAsia" w:eastAsiaTheme="minorEastAsia"/>
          <w:b/>
          <w:snapToGrid w:val="0"/>
          <w:kern w:val="0"/>
          <w:sz w:val="28"/>
          <w:szCs w:val="28"/>
        </w:rPr>
      </w:pPr>
      <w:r>
        <w:rPr>
          <w:rFonts w:hint="eastAsia" w:asciiTheme="minorEastAsia" w:hAnsiTheme="minorEastAsia" w:eastAsiaTheme="minorEastAsia"/>
          <w:b/>
          <w:bCs/>
          <w:snapToGrid w:val="0"/>
          <w:kern w:val="0"/>
          <w:sz w:val="28"/>
          <w:szCs w:val="28"/>
        </w:rPr>
        <w:t>授权委托书</w:t>
      </w:r>
    </w:p>
    <w:p>
      <w:pPr>
        <w:adjustRightInd w:val="0"/>
        <w:snapToGrid w:val="0"/>
        <w:spacing w:line="360" w:lineRule="auto"/>
        <w:jc w:val="left"/>
        <w:rPr>
          <w:rFonts w:asciiTheme="minorEastAsia" w:hAnsiTheme="minorEastAsia" w:eastAsiaTheme="minorEastAsia"/>
          <w:b/>
          <w:snapToGrid w:val="0"/>
          <w:kern w:val="0"/>
          <w:sz w:val="32"/>
          <w:szCs w:val="20"/>
        </w:rPr>
      </w:pPr>
    </w:p>
    <w:p>
      <w:pPr>
        <w:adjustRightInd w:val="0"/>
        <w:snapToGrid w:val="0"/>
        <w:spacing w:line="360" w:lineRule="auto"/>
        <w:ind w:left="4" w:firstLine="455" w:firstLineChars="217"/>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我 （姓名）系（投标人名称）的法定代表人，现授权委托（姓名、身份证号）为我公司授权代表，以本公司的名义参加</w:t>
      </w:r>
      <w:r>
        <w:rPr>
          <w:rFonts w:hint="eastAsia" w:asciiTheme="minorEastAsia" w:hAnsiTheme="minorEastAsia" w:eastAsiaTheme="minorEastAsia"/>
          <w:snapToGrid w:val="0"/>
          <w:kern w:val="0"/>
          <w:szCs w:val="21"/>
          <w:u w:val="single"/>
        </w:rPr>
        <w:t xml:space="preserve">   （采购人）    </w:t>
      </w:r>
      <w:r>
        <w:rPr>
          <w:rFonts w:hint="eastAsia" w:asciiTheme="minorEastAsia" w:hAnsiTheme="minorEastAsia" w:eastAsiaTheme="minorEastAsia"/>
          <w:snapToGrid w:val="0"/>
          <w:kern w:val="0"/>
          <w:szCs w:val="21"/>
        </w:rPr>
        <w:t>的 项目的投标活动。授权代表在开标、评标、合同谈判过程中所签署的一切文件和处理与之有关的一切事务，我均予以承认。</w:t>
      </w:r>
    </w:p>
    <w:p>
      <w:pPr>
        <w:adjustRightInd w:val="0"/>
        <w:snapToGrid w:val="0"/>
        <w:spacing w:line="360" w:lineRule="auto"/>
        <w:ind w:firstLine="420" w:firstLineChars="2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授权代表无权转委托。特此委托。</w:t>
      </w:r>
    </w:p>
    <w:p>
      <w:pPr>
        <w:adjustRightInd w:val="0"/>
        <w:snapToGrid w:val="0"/>
        <w:spacing w:line="360" w:lineRule="auto"/>
        <w:ind w:right="1800" w:firstLine="3570" w:firstLineChars="17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投标人：（盖公章）       </w:t>
      </w:r>
    </w:p>
    <w:p>
      <w:pPr>
        <w:autoSpaceDE w:val="0"/>
        <w:autoSpaceDN w:val="0"/>
        <w:adjustRightInd w:val="0"/>
        <w:snapToGrid w:val="0"/>
        <w:spacing w:line="360" w:lineRule="auto"/>
        <w:ind w:right="420"/>
        <w:jc w:val="center"/>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 xml:space="preserve">  法定代表人（签字或盖章） </w:t>
      </w:r>
    </w:p>
    <w:p>
      <w:pPr>
        <w:autoSpaceDE w:val="0"/>
        <w:autoSpaceDN w:val="0"/>
        <w:adjustRightInd w:val="0"/>
        <w:snapToGrid w:val="0"/>
        <w:spacing w:line="360" w:lineRule="auto"/>
        <w:ind w:right="420"/>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法定代表人身份证号码：</w:t>
      </w:r>
    </w:p>
    <w:p>
      <w:pPr>
        <w:autoSpaceDE w:val="0"/>
        <w:autoSpaceDN w:val="0"/>
        <w:adjustRightInd w:val="0"/>
        <w:snapToGrid w:val="0"/>
        <w:spacing w:line="360" w:lineRule="auto"/>
        <w:ind w:right="420"/>
        <w:jc w:val="center"/>
        <w:rPr>
          <w:rFonts w:asciiTheme="minorEastAsia" w:hAnsiTheme="minorEastAsia" w:eastAsiaTheme="minorEastAsia"/>
          <w:snapToGrid w:val="0"/>
          <w:kern w:val="0"/>
          <w:szCs w:val="21"/>
        </w:rPr>
      </w:pPr>
    </w:p>
    <w:p>
      <w:pPr>
        <w:autoSpaceDE w:val="0"/>
        <w:autoSpaceDN w:val="0"/>
        <w:adjustRightInd w:val="0"/>
        <w:snapToGrid w:val="0"/>
        <w:spacing w:line="360" w:lineRule="auto"/>
        <w:ind w:right="420"/>
        <w:rPr>
          <w:rFonts w:asciiTheme="minorEastAsia" w:hAnsiTheme="minorEastAsia" w:eastAsiaTheme="minorEastAsia"/>
          <w:snapToGrid w:val="0"/>
          <w:kern w:val="0"/>
          <w:szCs w:val="21"/>
        </w:rPr>
      </w:pPr>
    </w:p>
    <w:p>
      <w:pPr>
        <w:autoSpaceDE w:val="0"/>
        <w:autoSpaceDN w:val="0"/>
        <w:adjustRightInd w:val="0"/>
        <w:snapToGrid w:val="0"/>
        <w:spacing w:line="360" w:lineRule="auto"/>
        <w:ind w:right="420"/>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                                                年    月    日</w:t>
      </w:r>
    </w:p>
    <w:p>
      <w:pPr>
        <w:autoSpaceDE w:val="0"/>
        <w:autoSpaceDN w:val="0"/>
        <w:adjustRightInd w:val="0"/>
        <w:snapToGrid w:val="0"/>
        <w:spacing w:line="360" w:lineRule="auto"/>
        <w:ind w:right="420"/>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附法定代表人和授权代表的身份证复印件。</w:t>
      </w:r>
    </w:p>
    <w:p>
      <w:pPr>
        <w:autoSpaceDE w:val="0"/>
        <w:autoSpaceDN w:val="0"/>
        <w:adjustRightInd w:val="0"/>
        <w:snapToGrid w:val="0"/>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br w:type="page"/>
      </w:r>
      <w:r>
        <w:rPr>
          <w:rFonts w:hint="eastAsia" w:asciiTheme="minorEastAsia" w:hAnsiTheme="minorEastAsia" w:eastAsiaTheme="minorEastAsia"/>
          <w:b/>
          <w:bCs/>
          <w:snapToGrid w:val="0"/>
          <w:kern w:val="0"/>
          <w:szCs w:val="21"/>
        </w:rPr>
        <w:t>3.3合同条款偏离表</w:t>
      </w:r>
    </w:p>
    <w:p>
      <w:pPr>
        <w:adjustRightInd w:val="0"/>
        <w:snapToGrid w:val="0"/>
        <w:spacing w:line="360" w:lineRule="auto"/>
        <w:jc w:val="center"/>
        <w:rPr>
          <w:rFonts w:asciiTheme="minorEastAsia" w:hAnsiTheme="minorEastAsia" w:eastAsiaTheme="minorEastAsia"/>
          <w:b/>
          <w:snapToGrid w:val="0"/>
          <w:kern w:val="0"/>
          <w:sz w:val="28"/>
          <w:szCs w:val="28"/>
        </w:rPr>
      </w:pPr>
      <w:r>
        <w:rPr>
          <w:rFonts w:hint="eastAsia" w:asciiTheme="minorEastAsia" w:hAnsiTheme="minorEastAsia" w:eastAsiaTheme="minorEastAsia"/>
          <w:b/>
          <w:snapToGrid w:val="0"/>
          <w:kern w:val="0"/>
          <w:sz w:val="28"/>
          <w:szCs w:val="28"/>
        </w:rPr>
        <w:t>合同条款偏离表</w:t>
      </w:r>
    </w:p>
    <w:p>
      <w:pPr>
        <w:adjustRightInd w:val="0"/>
        <w:snapToGrid w:val="0"/>
        <w:spacing w:line="360" w:lineRule="auto"/>
        <w:jc w:val="center"/>
        <w:rPr>
          <w:rFonts w:asciiTheme="minorEastAsia" w:hAnsiTheme="minorEastAsia" w:eastAsiaTheme="minorEastAsia"/>
          <w:snapToGrid w:val="0"/>
          <w:kern w:val="0"/>
        </w:rPr>
      </w:pPr>
    </w:p>
    <w:tbl>
      <w:tblPr>
        <w:tblStyle w:val="45"/>
        <w:tblW w:w="86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60"/>
        <w:gridCol w:w="1785"/>
        <w:gridCol w:w="1785"/>
        <w:gridCol w:w="1785"/>
        <w:gridCol w:w="1785"/>
        <w:gridCol w:w="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74" w:hRule="atLeast"/>
          <w:jc w:val="center"/>
        </w:trPr>
        <w:tc>
          <w:tcPr>
            <w:tcW w:w="660"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序号</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招标文件要求</w:t>
            </w:r>
          </w:p>
        </w:tc>
        <w:tc>
          <w:tcPr>
            <w:tcW w:w="3570" w:type="dxa"/>
            <w:gridSpan w:val="2"/>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投标内容</w:t>
            </w:r>
          </w:p>
        </w:tc>
        <w:tc>
          <w:tcPr>
            <w:tcW w:w="840" w:type="dxa"/>
            <w:vMerge w:val="restart"/>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vMerge w:val="continue"/>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条款内容描述</w:t>
            </w: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章节、条款号</w:t>
            </w: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条款内容描述</w:t>
            </w:r>
          </w:p>
        </w:tc>
        <w:tc>
          <w:tcPr>
            <w:tcW w:w="840" w:type="dxa"/>
            <w:vMerge w:val="continue"/>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800" w:hRule="atLeast"/>
          <w:jc w:val="center"/>
        </w:trPr>
        <w:tc>
          <w:tcPr>
            <w:tcW w:w="66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1785" w:type="dxa"/>
            <w:tcBorders>
              <w:top w:val="single" w:color="000000" w:sz="6" w:space="0"/>
              <w:left w:val="single" w:color="000000" w:sz="6" w:space="0"/>
              <w:bottom w:val="single" w:color="000000" w:sz="6" w:space="0"/>
              <w:right w:val="single" w:color="000000" w:sz="6" w:space="0"/>
            </w:tcBorders>
            <w:vAlign w:val="center"/>
          </w:tcPr>
          <w:p>
            <w:pPr>
              <w:adjustRightInd w:val="0"/>
              <w:snapToGrid w:val="0"/>
              <w:spacing w:line="360" w:lineRule="auto"/>
              <w:rPr>
                <w:rFonts w:asciiTheme="minorEastAsia" w:hAnsiTheme="minorEastAsia" w:eastAsiaTheme="minorEastAsia"/>
                <w:snapToGrid w:val="0"/>
                <w:kern w:val="0"/>
                <w:szCs w:val="21"/>
              </w:rPr>
            </w:pPr>
          </w:p>
        </w:tc>
        <w:tc>
          <w:tcPr>
            <w:tcW w:w="840" w:type="dxa"/>
            <w:tcBorders>
              <w:top w:val="single" w:color="000000" w:sz="6" w:space="0"/>
              <w:left w:val="single" w:color="000000" w:sz="6" w:space="0"/>
              <w:bottom w:val="single" w:color="000000" w:sz="6" w:space="0"/>
              <w:right w:val="single" w:color="000000" w:sz="6" w:space="0"/>
            </w:tcBorders>
          </w:tcPr>
          <w:p>
            <w:pPr>
              <w:adjustRightInd w:val="0"/>
              <w:snapToGrid w:val="0"/>
              <w:spacing w:line="360" w:lineRule="auto"/>
              <w:rPr>
                <w:rFonts w:asciiTheme="minorEastAsia" w:hAnsiTheme="minorEastAsia" w:eastAsiaTheme="minorEastAsia"/>
                <w:snapToGrid w:val="0"/>
                <w:kern w:val="0"/>
                <w:szCs w:val="21"/>
              </w:rPr>
            </w:pPr>
          </w:p>
        </w:tc>
      </w:tr>
    </w:tbl>
    <w:p>
      <w:pPr>
        <w:adjustRightInd w:val="0"/>
        <w:snapToGrid w:val="0"/>
        <w:spacing w:line="360" w:lineRule="auto"/>
        <w:rPr>
          <w:rFonts w:asciiTheme="minorEastAsia" w:hAnsiTheme="minorEastAsia" w:eastAsiaTheme="minorEastAsia"/>
          <w:snapToGrid w:val="0"/>
          <w:kern w:val="0"/>
        </w:rPr>
      </w:pPr>
    </w:p>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jc w:val="left"/>
        <w:rPr>
          <w:rFonts w:asciiTheme="minorEastAsia" w:hAnsiTheme="minorEastAsia" w:eastAsiaTheme="minorEastAsia"/>
          <w:snapToGrid w:val="0"/>
          <w:kern w:val="0"/>
          <w:szCs w:val="21"/>
        </w:rPr>
      </w:pP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法定代表人或其授权代表(签字或盖章)：__________________</w:t>
      </w:r>
    </w:p>
    <w:p>
      <w:pPr>
        <w:adjustRightInd w:val="0"/>
        <w:snapToGrid w:val="0"/>
        <w:spacing w:line="360" w:lineRule="auto"/>
        <w:rPr>
          <w:rFonts w:asciiTheme="minorEastAsia" w:hAnsiTheme="minorEastAsia" w:eastAsiaTheme="minorEastAsia"/>
          <w:snapToGrid w:val="0"/>
          <w:kern w:val="0"/>
          <w:szCs w:val="21"/>
        </w:rPr>
      </w:pP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日</w:t>
      </w:r>
      <w:r>
        <w:rPr>
          <w:rFonts w:hint="eastAsia" w:asciiTheme="minorEastAsia" w:hAnsiTheme="minorEastAsia" w:eastAsiaTheme="minorEastAsia"/>
          <w:snapToGrid w:val="0"/>
          <w:kern w:val="0"/>
          <w:szCs w:val="21"/>
        </w:rPr>
        <w:tab/>
      </w:r>
      <w:r>
        <w:rPr>
          <w:rFonts w:hint="eastAsia" w:asciiTheme="minorEastAsia" w:hAnsiTheme="minorEastAsia" w:eastAsiaTheme="minorEastAsia"/>
          <w:snapToGrid w:val="0"/>
          <w:kern w:val="0"/>
          <w:szCs w:val="21"/>
        </w:rPr>
        <w:t>期：</w:t>
      </w:r>
    </w:p>
    <w:p>
      <w:pPr>
        <w:adjustRightInd w:val="0"/>
        <w:snapToGrid w:val="0"/>
        <w:spacing w:line="360" w:lineRule="auto"/>
        <w:rPr>
          <w:rFonts w:asciiTheme="minorEastAsia" w:hAnsiTheme="minorEastAsia" w:eastAsiaTheme="minorEastAsia"/>
          <w:snapToGrid w:val="0"/>
          <w:kern w:val="0"/>
        </w:rPr>
      </w:pPr>
    </w:p>
    <w:p>
      <w:pPr>
        <w:adjustRightInd w:val="0"/>
        <w:snapToGrid w:val="0"/>
        <w:spacing w:line="360" w:lineRule="auto"/>
        <w:ind w:firstLine="420" w:firstLineChars="200"/>
        <w:rPr>
          <w:rFonts w:asciiTheme="minorEastAsia" w:hAnsiTheme="minorEastAsia" w:eastAsiaTheme="minorEastAsia"/>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spacing w:line="360" w:lineRule="auto"/>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28"/>
          <w:szCs w:val="28"/>
          <w:lang w:val="zh-CN"/>
        </w:rPr>
      </w:pPr>
      <w:r>
        <w:rPr>
          <w:rFonts w:hint="eastAsia" w:cs="仿宋_GB2312" w:asciiTheme="minorEastAsia" w:hAnsiTheme="minorEastAsia" w:eastAsiaTheme="minorEastAsia"/>
          <w:b/>
          <w:bCs/>
          <w:sz w:val="28"/>
          <w:szCs w:val="28"/>
        </w:rPr>
        <w:t>3.4关于</w:t>
      </w:r>
      <w:r>
        <w:rPr>
          <w:rFonts w:hint="eastAsia" w:cs="仿宋_GB2312" w:asciiTheme="minorEastAsia" w:hAnsiTheme="minorEastAsia" w:eastAsiaTheme="minorEastAsia"/>
          <w:b/>
          <w:kern w:val="0"/>
          <w:sz w:val="28"/>
          <w:szCs w:val="28"/>
          <w:lang w:val="zh-CN"/>
        </w:rPr>
        <w:t>对招标文件中有关条款的拒绝声明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（由投标人根据采购需求自行编制）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投标人名称（公章）：      </w:t>
      </w:r>
    </w:p>
    <w:p>
      <w:pPr>
        <w:autoSpaceDE w:val="0"/>
        <w:autoSpaceDN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法定代表人或其授权代表（签字）：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spacing w:line="360" w:lineRule="auto"/>
        <w:rPr>
          <w:rFonts w:cs="仿宋_GB2312" w:asciiTheme="minorEastAsia" w:hAnsiTheme="minorEastAsia" w:eastAsiaTheme="minorEastAsia"/>
          <w:kern w:val="0"/>
          <w:sz w:val="24"/>
          <w:lang w:val="zh-CN"/>
        </w:rPr>
      </w:pPr>
    </w:p>
    <w:p>
      <w:pPr>
        <w:spacing w:line="360" w:lineRule="auto"/>
        <w:rPr>
          <w:rFonts w:cs="仿宋_GB2312" w:asciiTheme="minorEastAsia" w:hAnsiTheme="minorEastAsia" w:eastAsiaTheme="minorEastAsia"/>
          <w:kern w:val="0"/>
          <w:sz w:val="24"/>
          <w:lang w:val="zh-CN"/>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28"/>
          <w:szCs w:val="28"/>
          <w:lang w:val="zh-CN"/>
        </w:rPr>
      </w:pPr>
      <w:r>
        <w:rPr>
          <w:rFonts w:hint="eastAsia" w:cs="仿宋_GB2312" w:asciiTheme="minorEastAsia" w:hAnsiTheme="minorEastAsia" w:eastAsiaTheme="minorEastAsia"/>
          <w:b/>
          <w:bCs/>
          <w:sz w:val="28"/>
          <w:szCs w:val="28"/>
        </w:rPr>
        <w:t>3.5认为需要的</w:t>
      </w:r>
      <w:r>
        <w:rPr>
          <w:rFonts w:hint="eastAsia" w:cs="仿宋_GB2312" w:asciiTheme="minorEastAsia" w:hAnsiTheme="minorEastAsia" w:eastAsiaTheme="minorEastAsia"/>
          <w:b/>
          <w:kern w:val="0"/>
          <w:sz w:val="28"/>
          <w:szCs w:val="28"/>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（由投标人根据采购需求自行编制）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800" w:firstLineChars="20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投标人名称（公章）：      </w:t>
      </w:r>
    </w:p>
    <w:p>
      <w:pPr>
        <w:autoSpaceDE w:val="0"/>
        <w:autoSpaceDN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法定代表人或其授权代表（签字）： </w:t>
      </w:r>
    </w:p>
    <w:p>
      <w:pPr>
        <w:spacing w:line="360" w:lineRule="auto"/>
        <w:ind w:firstLine="1070" w:firstLineChars="446"/>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b/>
          <w:bCs/>
          <w:snapToGrid w:val="0"/>
          <w:kern w:val="0"/>
          <w:szCs w:val="21"/>
        </w:rPr>
      </w:pPr>
    </w:p>
    <w:p>
      <w:pPr>
        <w:adjustRightInd w:val="0"/>
        <w:snapToGrid w:val="0"/>
        <w:spacing w:line="360" w:lineRule="auto"/>
        <w:ind w:left="632" w:hanging="632" w:hangingChars="300"/>
        <w:rPr>
          <w:rFonts w:asciiTheme="minorEastAsia" w:hAnsiTheme="minorEastAsia" w:eastAsiaTheme="minorEastAsia"/>
          <w:snapToGrid w:val="0"/>
          <w:kern w:val="0"/>
        </w:rPr>
      </w:pPr>
      <w:r>
        <w:rPr>
          <w:rFonts w:hint="eastAsia" w:asciiTheme="minorEastAsia" w:hAnsiTheme="minorEastAsia" w:eastAsiaTheme="minorEastAsia"/>
          <w:b/>
          <w:bCs/>
          <w:snapToGrid w:val="0"/>
          <w:kern w:val="0"/>
          <w:szCs w:val="21"/>
        </w:rPr>
        <w:t>3.6 廉政承诺书</w:t>
      </w:r>
    </w:p>
    <w:p>
      <w:pPr>
        <w:autoSpaceDE w:val="0"/>
        <w:autoSpaceDN w:val="0"/>
        <w:adjustRightInd w:val="0"/>
        <w:snapToGrid w:val="0"/>
        <w:spacing w:line="360" w:lineRule="auto"/>
        <w:jc w:val="center"/>
        <w:rPr>
          <w:rFonts w:asciiTheme="minorEastAsia" w:hAnsiTheme="minorEastAsia" w:eastAsiaTheme="minorEastAsia"/>
          <w:b/>
          <w:bCs/>
          <w:snapToGrid w:val="0"/>
          <w:kern w:val="0"/>
          <w:sz w:val="32"/>
          <w:szCs w:val="32"/>
        </w:rPr>
      </w:pPr>
      <w:r>
        <w:rPr>
          <w:rFonts w:hint="eastAsia" w:asciiTheme="minorEastAsia" w:hAnsiTheme="minorEastAsia" w:eastAsiaTheme="minorEastAsia"/>
          <w:b/>
          <w:bCs/>
          <w:snapToGrid w:val="0"/>
          <w:kern w:val="0"/>
          <w:sz w:val="32"/>
          <w:szCs w:val="32"/>
        </w:rPr>
        <w:t>廉 政 承 诺 书</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杭州市水文水资源监测总站：</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我单位响应你单位项目招标要求参加应标。在这次应标过程中和中标后，我们将严格遵守国家法规和公安机关纪律要求，并郑重承诺：</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一、不向项目有关人员及部门赠送礼金礼物、有价证券、回扣以及中介费、介绍费、咨询费等好处费；</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二、不为项目有关人员及部门报销应由你方单位或个人支付的费用；</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三、不向项目有关人员及部门提供有可能影响公正执行公务的宴请和健身娱乐等活动；</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四、不为项目有关人员及部门出国（境）、旅游等提供方便；</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五、不为项目有关人员个人装修住房、婚丧嫁娶、配偶子女工作安排等提供好处； </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六、严格遵守政府采购法、招标应标法、合同法等法律，诚实守信，合法经营，坚决抵制各种违法违纪行为。</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    如违反上述承诺，你单位有权立即取消我单位应标、中标或在建项目的建设资格，有权拒绝我单位在一定时期内进入你单位进行工程建设或其他经营活动，并通报市政府采购办。由此引起的相应损失均由我日单位承担。</w:t>
      </w:r>
    </w:p>
    <w:p>
      <w:pPr>
        <w:autoSpaceDE w:val="0"/>
        <w:autoSpaceDN w:val="0"/>
        <w:adjustRightInd w:val="0"/>
        <w:snapToGrid w:val="0"/>
        <w:spacing w:line="360" w:lineRule="auto"/>
        <w:rPr>
          <w:rFonts w:asciiTheme="minorEastAsia" w:hAnsiTheme="minorEastAsia" w:eastAsiaTheme="minorEastAsia"/>
          <w:bCs/>
          <w:snapToGrid w:val="0"/>
          <w:kern w:val="0"/>
          <w:szCs w:val="21"/>
        </w:rPr>
      </w:pPr>
    </w:p>
    <w:p>
      <w:pPr>
        <w:autoSpaceDE w:val="0"/>
        <w:autoSpaceDN w:val="0"/>
        <w:adjustRightInd w:val="0"/>
        <w:snapToGrid w:val="0"/>
        <w:spacing w:line="360" w:lineRule="auto"/>
        <w:rPr>
          <w:rFonts w:asciiTheme="minorEastAsia" w:hAnsiTheme="minorEastAsia" w:eastAsiaTheme="minorEastAsia"/>
          <w:bCs/>
          <w:snapToGrid w:val="0"/>
          <w:kern w:val="0"/>
          <w:szCs w:val="21"/>
        </w:rPr>
      </w:pP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投标人（盖公章）：                </w:t>
      </w: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 xml:space="preserve">法定代表人（签字或盖章）：                             </w:t>
      </w:r>
    </w:p>
    <w:p>
      <w:pPr>
        <w:autoSpaceDE w:val="0"/>
        <w:autoSpaceDN w:val="0"/>
        <w:adjustRightInd w:val="0"/>
        <w:snapToGrid w:val="0"/>
        <w:spacing w:line="360" w:lineRule="auto"/>
        <w:rPr>
          <w:rFonts w:asciiTheme="minorEastAsia" w:hAnsiTheme="minorEastAsia" w:eastAsiaTheme="minorEastAsia"/>
          <w:bCs/>
          <w:snapToGrid w:val="0"/>
          <w:kern w:val="0"/>
          <w:szCs w:val="21"/>
        </w:rPr>
      </w:pPr>
    </w:p>
    <w:p>
      <w:pPr>
        <w:autoSpaceDE w:val="0"/>
        <w:autoSpaceDN w:val="0"/>
        <w:adjustRightInd w:val="0"/>
        <w:snapToGrid w:val="0"/>
        <w:spacing w:line="360" w:lineRule="auto"/>
        <w:rPr>
          <w:rFonts w:asciiTheme="minorEastAsia" w:hAnsiTheme="minorEastAsia" w:eastAsiaTheme="minorEastAsia"/>
          <w:bCs/>
          <w:snapToGrid w:val="0"/>
          <w:kern w:val="0"/>
          <w:szCs w:val="21"/>
        </w:rPr>
      </w:pPr>
    </w:p>
    <w:p>
      <w:pPr>
        <w:autoSpaceDE w:val="0"/>
        <w:autoSpaceDN w:val="0"/>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2019年＿月 ＿日</w:t>
      </w: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p>
    <w:p>
      <w:pPr>
        <w:pStyle w:val="2"/>
        <w:rPr>
          <w:color w:val="auto"/>
        </w:rPr>
      </w:pPr>
    </w:p>
    <w:p>
      <w:pPr>
        <w:pStyle w:val="4"/>
        <w:snapToGrid w:val="0"/>
        <w:spacing w:before="0" w:after="0" w:line="360" w:lineRule="auto"/>
        <w:rPr>
          <w:rFonts w:asciiTheme="minorEastAsia" w:hAnsiTheme="minorEastAsia" w:eastAsiaTheme="minorEastAsia"/>
          <w:snapToGrid w:val="0"/>
          <w:kern w:val="0"/>
          <w:sz w:val="21"/>
          <w:szCs w:val="21"/>
        </w:rPr>
      </w:pPr>
      <w:bookmarkStart w:id="168" w:name="_Toc420670310"/>
      <w:bookmarkStart w:id="169" w:name="_Toc23154242"/>
      <w:bookmarkStart w:id="170" w:name="_Toc293401395"/>
      <w:r>
        <w:rPr>
          <w:rFonts w:hint="eastAsia" w:asciiTheme="minorEastAsia" w:hAnsiTheme="minorEastAsia" w:eastAsiaTheme="minorEastAsia"/>
          <w:snapToGrid w:val="0"/>
          <w:kern w:val="0"/>
          <w:sz w:val="21"/>
          <w:szCs w:val="21"/>
        </w:rPr>
        <w:t>四、技术文件</w:t>
      </w:r>
      <w:bookmarkEnd w:id="168"/>
      <w:bookmarkEnd w:id="169"/>
      <w:bookmarkEnd w:id="170"/>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4.1 技术偏离表及建议</w:t>
      </w:r>
    </w:p>
    <w:p>
      <w:pPr>
        <w:adjustRightInd w:val="0"/>
        <w:snapToGrid w:val="0"/>
        <w:spacing w:line="360" w:lineRule="auto"/>
        <w:ind w:firstLine="435"/>
        <w:jc w:val="center"/>
        <w:rPr>
          <w:rFonts w:asciiTheme="minorEastAsia" w:hAnsiTheme="minorEastAsia" w:eastAsiaTheme="minorEastAsia"/>
          <w:b/>
          <w:snapToGrid w:val="0"/>
          <w:kern w:val="0"/>
          <w:sz w:val="28"/>
          <w:szCs w:val="28"/>
        </w:rPr>
      </w:pPr>
      <w:r>
        <w:rPr>
          <w:rFonts w:hint="eastAsia" w:asciiTheme="minorEastAsia" w:hAnsiTheme="minorEastAsia" w:eastAsiaTheme="minorEastAsia"/>
          <w:b/>
          <w:snapToGrid w:val="0"/>
          <w:kern w:val="0"/>
          <w:sz w:val="28"/>
          <w:szCs w:val="28"/>
        </w:rPr>
        <w:t>技术偏离表及建议</w:t>
      </w:r>
    </w:p>
    <w:p>
      <w:pPr>
        <w:adjustRightInd w:val="0"/>
        <w:snapToGrid w:val="0"/>
        <w:spacing w:line="360" w:lineRule="auto"/>
        <w:ind w:firstLine="435"/>
        <w:jc w:val="left"/>
        <w:rPr>
          <w:rFonts w:asciiTheme="minorEastAsia" w:hAnsiTheme="minorEastAsia" w:eastAsiaTheme="minorEastAsia"/>
          <w:snapToGrid w:val="0"/>
          <w:kern w:val="0"/>
          <w:sz w:val="18"/>
        </w:rPr>
      </w:pPr>
    </w:p>
    <w:tbl>
      <w:tblPr>
        <w:tblStyle w:val="45"/>
        <w:tblW w:w="805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21"/>
        <w:gridCol w:w="2487"/>
        <w:gridCol w:w="2700"/>
        <w:gridCol w:w="164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77" w:hRule="atLeast"/>
        </w:trPr>
        <w:tc>
          <w:tcPr>
            <w:tcW w:w="1221" w:type="dxa"/>
            <w:vAlign w:val="center"/>
          </w:tcPr>
          <w:p>
            <w:pPr>
              <w:adjustRightInd w:val="0"/>
              <w:snapToGrid w:val="0"/>
              <w:spacing w:line="360" w:lineRule="auto"/>
              <w:jc w:val="center"/>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序 号</w:t>
            </w: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招标文件技术要求</w:t>
            </w:r>
          </w:p>
        </w:tc>
        <w:tc>
          <w:tcPr>
            <w:tcW w:w="2700" w:type="dxa"/>
            <w:vAlign w:val="center"/>
          </w:tcPr>
          <w:p>
            <w:pPr>
              <w:adjustRightInd w:val="0"/>
              <w:snapToGrid w:val="0"/>
              <w:spacing w:line="360" w:lineRule="auto"/>
              <w:jc w:val="center"/>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投标文件偏离情况</w:t>
            </w:r>
          </w:p>
        </w:tc>
        <w:tc>
          <w:tcPr>
            <w:tcW w:w="1642" w:type="dxa"/>
            <w:vAlign w:val="center"/>
          </w:tcPr>
          <w:p>
            <w:pPr>
              <w:adjustRightInd w:val="0"/>
              <w:snapToGrid w:val="0"/>
              <w:spacing w:line="360" w:lineRule="auto"/>
              <w:jc w:val="center"/>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 w:val="24"/>
              </w:rPr>
              <w:t>备    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vAlign w:val="center"/>
          </w:tcPr>
          <w:p>
            <w:pPr>
              <w:pStyle w:val="213"/>
              <w:snapToGrid w:val="0"/>
              <w:spacing w:line="360" w:lineRule="auto"/>
              <w:rPr>
                <w:rFonts w:hint="default" w:asciiTheme="minorEastAsia" w:hAnsiTheme="minorEastAsia" w:eastAsiaTheme="minorEastAsia"/>
                <w:snapToGrid w:val="0"/>
                <w:kern w:val="0"/>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vAlign w:val="center"/>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tcPr>
          <w:p>
            <w:pPr>
              <w:pStyle w:val="213"/>
              <w:snapToGrid w:val="0"/>
              <w:spacing w:line="360" w:lineRule="auto"/>
              <w:rPr>
                <w:rFonts w:hint="default" w:asciiTheme="minorEastAsia" w:hAnsiTheme="minorEastAsia" w:eastAsiaTheme="minorEastAsia"/>
                <w:snapToGrid w:val="0"/>
                <w:kern w:val="0"/>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1221" w:type="dxa"/>
          </w:tcPr>
          <w:p>
            <w:pPr>
              <w:adjustRightInd w:val="0"/>
              <w:snapToGrid w:val="0"/>
              <w:spacing w:line="360" w:lineRule="auto"/>
              <w:ind w:firstLine="435"/>
              <w:rPr>
                <w:rFonts w:asciiTheme="minorEastAsia" w:hAnsiTheme="minorEastAsia" w:eastAsiaTheme="minorEastAsia"/>
                <w:snapToGrid w:val="0"/>
                <w:kern w:val="0"/>
                <w:sz w:val="24"/>
              </w:rPr>
            </w:pPr>
          </w:p>
        </w:tc>
        <w:tc>
          <w:tcPr>
            <w:tcW w:w="2487" w:type="dxa"/>
          </w:tcPr>
          <w:p>
            <w:pPr>
              <w:adjustRightInd w:val="0"/>
              <w:snapToGrid w:val="0"/>
              <w:spacing w:line="360" w:lineRule="auto"/>
              <w:jc w:val="center"/>
              <w:rPr>
                <w:rFonts w:asciiTheme="minorEastAsia" w:hAnsiTheme="minorEastAsia" w:eastAsiaTheme="minorEastAsia"/>
                <w:snapToGrid w:val="0"/>
                <w:kern w:val="0"/>
                <w:sz w:val="24"/>
              </w:rPr>
            </w:pPr>
          </w:p>
        </w:tc>
        <w:tc>
          <w:tcPr>
            <w:tcW w:w="2700" w:type="dxa"/>
          </w:tcPr>
          <w:p>
            <w:pPr>
              <w:adjustRightInd w:val="0"/>
              <w:snapToGrid w:val="0"/>
              <w:spacing w:line="360" w:lineRule="auto"/>
              <w:jc w:val="center"/>
              <w:rPr>
                <w:rFonts w:asciiTheme="minorEastAsia" w:hAnsiTheme="minorEastAsia" w:eastAsiaTheme="minorEastAsia"/>
                <w:snapToGrid w:val="0"/>
                <w:kern w:val="0"/>
                <w:sz w:val="24"/>
              </w:rPr>
            </w:pPr>
          </w:p>
        </w:tc>
        <w:tc>
          <w:tcPr>
            <w:tcW w:w="1642" w:type="dxa"/>
          </w:tcPr>
          <w:p>
            <w:pPr>
              <w:adjustRightInd w:val="0"/>
              <w:snapToGrid w:val="0"/>
              <w:spacing w:line="360" w:lineRule="auto"/>
              <w:rPr>
                <w:rFonts w:asciiTheme="minorEastAsia" w:hAnsiTheme="minorEastAsia" w:eastAsiaTheme="minorEastAsia"/>
                <w:snapToGrid w:val="0"/>
                <w:kern w:val="0"/>
                <w:sz w:val="24"/>
              </w:rPr>
            </w:pPr>
          </w:p>
        </w:tc>
      </w:tr>
    </w:tbl>
    <w:p>
      <w:pPr>
        <w:adjustRightInd w:val="0"/>
        <w:snapToGrid w:val="0"/>
        <w:spacing w:line="360" w:lineRule="auto"/>
        <w:jc w:val="left"/>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注意：投标人须分别填写商务和合同条款偏离表，若不填写，视作响应招标文件要求。</w:t>
      </w:r>
    </w:p>
    <w:p>
      <w:pPr>
        <w:adjustRightInd w:val="0"/>
        <w:snapToGrid w:val="0"/>
        <w:spacing w:line="360" w:lineRule="auto"/>
        <w:jc w:val="left"/>
        <w:rPr>
          <w:rFonts w:asciiTheme="minorEastAsia" w:hAnsiTheme="minorEastAsia" w:eastAsiaTheme="minorEastAsia"/>
          <w:b/>
          <w:snapToGrid w:val="0"/>
          <w:kern w:val="0"/>
          <w:szCs w:val="21"/>
        </w:rPr>
      </w:pPr>
    </w:p>
    <w:tbl>
      <w:tblPr>
        <w:tblStyle w:val="45"/>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8647" w:type="dxa"/>
          </w:tcPr>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建议：</w:t>
            </w:r>
          </w:p>
          <w:p>
            <w:pPr>
              <w:adjustRightInd w:val="0"/>
              <w:snapToGrid w:val="0"/>
              <w:spacing w:line="360" w:lineRule="auto"/>
              <w:ind w:firstLine="6480" w:firstLineChars="2700"/>
              <w:rPr>
                <w:rFonts w:asciiTheme="minorEastAsia" w:hAnsiTheme="minorEastAsia" w:eastAsiaTheme="minorEastAsia"/>
                <w:snapToGrid w:val="0"/>
                <w:kern w:val="0"/>
                <w:sz w:val="24"/>
              </w:rPr>
            </w:pPr>
          </w:p>
          <w:p>
            <w:pPr>
              <w:adjustRightInd w:val="0"/>
              <w:snapToGrid w:val="0"/>
              <w:spacing w:line="360" w:lineRule="auto"/>
              <w:ind w:firstLine="5692" w:firstLineChars="2700"/>
              <w:rPr>
                <w:rFonts w:asciiTheme="minorEastAsia" w:hAnsiTheme="minorEastAsia" w:eastAsiaTheme="minorEastAsia"/>
                <w:b/>
                <w:snapToGrid w:val="0"/>
                <w:kern w:val="0"/>
                <w:szCs w:val="21"/>
              </w:rPr>
            </w:pPr>
          </w:p>
        </w:tc>
      </w:tr>
    </w:tbl>
    <w:p>
      <w:pPr>
        <w:adjustRightInd w:val="0"/>
        <w:snapToGrid w:val="0"/>
        <w:spacing w:line="360" w:lineRule="auto"/>
        <w:ind w:firstLine="6480" w:firstLineChars="2700"/>
        <w:rPr>
          <w:rFonts w:asciiTheme="minorEastAsia" w:hAnsiTheme="minorEastAsia" w:eastAsiaTheme="minorEastAsia"/>
          <w:snapToGrid w:val="0"/>
          <w:kern w:val="0"/>
          <w:sz w:val="24"/>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法定代表人或授权代表(签字或盖章)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 w:val="24"/>
        </w:rPr>
      </w:pPr>
      <w:r>
        <w:rPr>
          <w:rFonts w:hint="eastAsia" w:asciiTheme="minorEastAsia" w:hAnsiTheme="minorEastAsia" w:eastAsiaTheme="minorEastAsia"/>
          <w:snapToGrid w:val="0"/>
          <w:kern w:val="0"/>
          <w:szCs w:val="21"/>
        </w:rPr>
        <w:t>日  期：</w:t>
      </w:r>
    </w:p>
    <w:p>
      <w:pPr>
        <w:autoSpaceDE w:val="0"/>
        <w:autoSpaceDN w:val="0"/>
        <w:adjustRightInd w:val="0"/>
        <w:snapToGrid w:val="0"/>
        <w:spacing w:line="360" w:lineRule="auto"/>
        <w:rPr>
          <w:rFonts w:asciiTheme="minorEastAsia" w:hAnsiTheme="minorEastAsia" w:eastAsiaTheme="minorEastAsia"/>
          <w:b/>
          <w:bCs/>
          <w:snapToGrid w:val="0"/>
          <w:kern w:val="0"/>
          <w:szCs w:val="21"/>
        </w:rPr>
        <w:sectPr>
          <w:pgSz w:w="11906" w:h="16838"/>
          <w:pgMar w:top="1304" w:right="1588" w:bottom="1304" w:left="1588" w:header="851" w:footer="680" w:gutter="0"/>
          <w:cols w:space="720" w:num="1"/>
          <w:docGrid w:linePitch="312" w:charSpace="0"/>
        </w:sectPr>
      </w:pPr>
    </w:p>
    <w:p>
      <w:pPr>
        <w:adjustRightInd w:val="0"/>
        <w:snapToGrid w:val="0"/>
        <w:spacing w:line="360" w:lineRule="auto"/>
        <w:rPr>
          <w:rFonts w:asciiTheme="minorEastAsia" w:hAnsiTheme="minorEastAsia" w:eastAsiaTheme="minorEastAsia"/>
          <w:b/>
          <w:snapToGrid w:val="0"/>
          <w:kern w:val="0"/>
          <w:szCs w:val="21"/>
        </w:rPr>
      </w:pPr>
      <w:bookmarkStart w:id="171" w:name="_Toc132517316"/>
      <w:bookmarkStart w:id="172" w:name="_Toc105141032"/>
      <w:r>
        <w:rPr>
          <w:rFonts w:hint="eastAsia" w:asciiTheme="minorEastAsia" w:hAnsiTheme="minorEastAsia" w:eastAsiaTheme="minorEastAsia"/>
          <w:snapToGrid w:val="0"/>
          <w:kern w:val="0"/>
          <w:sz w:val="24"/>
        </w:rPr>
        <w:t>4.3</w:t>
      </w:r>
    </w:p>
    <w:p>
      <w:pPr>
        <w:adjustRightInd w:val="0"/>
        <w:snapToGrid w:val="0"/>
        <w:spacing w:line="360" w:lineRule="auto"/>
        <w:jc w:val="center"/>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实施进度计划表</w:t>
      </w:r>
    </w:p>
    <w:p>
      <w:pPr>
        <w:adjustRightInd w:val="0"/>
        <w:snapToGrid w:val="0"/>
        <w:spacing w:line="360" w:lineRule="auto"/>
        <w:rPr>
          <w:rFonts w:asciiTheme="minorEastAsia" w:hAnsiTheme="minorEastAsia" w:eastAsiaTheme="minorEastAsia"/>
          <w:b/>
          <w:bCs/>
          <w:snapToGrid w:val="0"/>
          <w:kern w:val="0"/>
          <w:szCs w:val="21"/>
        </w:rPr>
      </w:pP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项目名称： </w:t>
      </w:r>
    </w:p>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 xml:space="preserve">(以生效日算起) </w:t>
      </w:r>
    </w:p>
    <w:tbl>
      <w:tblPr>
        <w:tblStyle w:val="45"/>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月  份</w:t>
            </w:r>
          </w:p>
        </w:tc>
        <w:tc>
          <w:tcPr>
            <w:tcW w:w="55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w:t>
            </w:r>
          </w:p>
        </w:tc>
        <w:tc>
          <w:tcPr>
            <w:tcW w:w="55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w:t>
            </w:r>
          </w:p>
        </w:tc>
        <w:tc>
          <w:tcPr>
            <w:tcW w:w="55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3</w:t>
            </w:r>
          </w:p>
        </w:tc>
        <w:tc>
          <w:tcPr>
            <w:tcW w:w="55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4</w:t>
            </w:r>
          </w:p>
        </w:tc>
        <w:tc>
          <w:tcPr>
            <w:tcW w:w="55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5</w:t>
            </w:r>
          </w:p>
        </w:tc>
        <w:tc>
          <w:tcPr>
            <w:tcW w:w="552"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6</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7</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8</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9</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10</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11</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12</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13</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14</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15</w:t>
            </w:r>
          </w:p>
        </w:tc>
        <w:tc>
          <w:tcPr>
            <w:tcW w:w="55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2"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c>
          <w:tcPr>
            <w:tcW w:w="553" w:type="dxa"/>
          </w:tcPr>
          <w:p>
            <w:pPr>
              <w:adjustRightInd w:val="0"/>
              <w:snapToGrid w:val="0"/>
              <w:spacing w:line="360" w:lineRule="auto"/>
              <w:rPr>
                <w:rFonts w:asciiTheme="minorEastAsia" w:hAnsiTheme="minorEastAsia" w:eastAsiaTheme="minorEastAsia"/>
                <w:snapToGrid w:val="0"/>
                <w:kern w:val="0"/>
                <w:szCs w:val="21"/>
              </w:rPr>
            </w:pPr>
          </w:p>
        </w:tc>
      </w:tr>
    </w:tbl>
    <w:p>
      <w:pPr>
        <w:adjustRightInd w:val="0"/>
        <w:snapToGrid w:val="0"/>
        <w:spacing w:line="360" w:lineRule="auto"/>
        <w:rPr>
          <w:rFonts w:asciiTheme="minorEastAsia" w:hAnsiTheme="minorEastAsia" w:eastAsiaTheme="minorEastAsia"/>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Cs w:val="21"/>
        </w:rPr>
        <w:t>注：上述时间表的格式仅供参考，采购人可自行编制切合实际的具体时间表。</w:t>
      </w: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法定代表人或授权代表(签字或盖章)</w:t>
      </w:r>
    </w:p>
    <w:p>
      <w:pPr>
        <w:adjustRightInd w:val="0"/>
        <w:snapToGrid w:val="0"/>
        <w:spacing w:line="360" w:lineRule="auto"/>
        <w:ind w:firstLine="4158" w:firstLineChars="1980"/>
        <w:rPr>
          <w:rFonts w:asciiTheme="minorEastAsia" w:hAnsiTheme="minorEastAsia" w:eastAsiaTheme="minorEastAsia"/>
          <w:snapToGrid w:val="0"/>
          <w:kern w:val="0"/>
          <w:szCs w:val="21"/>
        </w:rPr>
      </w:pPr>
    </w:p>
    <w:p>
      <w:pPr>
        <w:adjustRightInd w:val="0"/>
        <w:snapToGrid w:val="0"/>
        <w:spacing w:line="360" w:lineRule="auto"/>
        <w:ind w:firstLine="4200" w:firstLineChars="20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日  期：</w:t>
      </w:r>
    </w:p>
    <w:p>
      <w:pPr>
        <w:adjustRightInd w:val="0"/>
        <w:snapToGrid w:val="0"/>
        <w:spacing w:line="360" w:lineRule="auto"/>
        <w:rPr>
          <w:rFonts w:asciiTheme="minorEastAsia" w:hAnsiTheme="minorEastAsia" w:eastAsiaTheme="minorEastAsia"/>
          <w:b/>
          <w:snapToGrid w:val="0"/>
          <w:kern w:val="0"/>
          <w:szCs w:val="21"/>
        </w:rPr>
      </w:pPr>
    </w:p>
    <w:p>
      <w:pPr>
        <w:adjustRightInd w:val="0"/>
        <w:snapToGrid w:val="0"/>
        <w:spacing w:line="360" w:lineRule="auto"/>
        <w:rPr>
          <w:rFonts w:asciiTheme="minorEastAsia" w:hAnsiTheme="minorEastAsia" w:eastAsiaTheme="minorEastAsia"/>
          <w:b/>
          <w:snapToGrid w:val="0"/>
          <w:kern w:val="0"/>
          <w:szCs w:val="21"/>
        </w:rPr>
      </w:pPr>
      <w:r>
        <w:rPr>
          <w:rFonts w:hint="eastAsia" w:asciiTheme="minorEastAsia" w:hAnsiTheme="minorEastAsia" w:eastAsiaTheme="minorEastAsia"/>
          <w:b/>
          <w:snapToGrid w:val="0"/>
          <w:kern w:val="0"/>
          <w:sz w:val="28"/>
        </w:rPr>
        <w:br w:type="page"/>
      </w:r>
      <w:r>
        <w:rPr>
          <w:rFonts w:hint="eastAsia" w:asciiTheme="minorEastAsia" w:hAnsiTheme="minorEastAsia" w:eastAsiaTheme="minorEastAsia"/>
          <w:b/>
          <w:snapToGrid w:val="0"/>
          <w:kern w:val="0"/>
          <w:szCs w:val="21"/>
        </w:rPr>
        <w:t>4.4</w:t>
      </w:r>
    </w:p>
    <w:p>
      <w:pPr>
        <w:adjustRightInd w:val="0"/>
        <w:snapToGrid w:val="0"/>
        <w:spacing w:line="360" w:lineRule="auto"/>
        <w:jc w:val="center"/>
        <w:rPr>
          <w:rFonts w:asciiTheme="minorEastAsia" w:hAnsiTheme="minorEastAsia" w:eastAsiaTheme="minorEastAsia"/>
          <w:b/>
          <w:snapToGrid w:val="0"/>
          <w:kern w:val="0"/>
          <w:sz w:val="24"/>
        </w:rPr>
      </w:pPr>
      <w:r>
        <w:rPr>
          <w:rFonts w:hint="eastAsia" w:asciiTheme="minorEastAsia" w:hAnsiTheme="minorEastAsia" w:eastAsiaTheme="minorEastAsia"/>
          <w:b/>
          <w:snapToGrid w:val="0"/>
          <w:kern w:val="0"/>
          <w:sz w:val="24"/>
        </w:rPr>
        <w:t>售后服务表</w:t>
      </w:r>
      <w:bookmarkEnd w:id="171"/>
      <w:bookmarkEnd w:id="172"/>
    </w:p>
    <w:p>
      <w:pPr>
        <w:adjustRightInd w:val="0"/>
        <w:snapToGrid w:val="0"/>
        <w:spacing w:line="360" w:lineRule="auto"/>
        <w:ind w:firstLine="210" w:firstLineChars="1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投标人名称：（加盖公章）</w:t>
      </w:r>
    </w:p>
    <w:tbl>
      <w:tblPr>
        <w:tblStyle w:val="45"/>
        <w:tblpPr w:leftFromText="180" w:rightFromText="180" w:vertAnchor="text" w:tblpX="108" w:tblpY="1"/>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序号</w:t>
            </w:r>
          </w:p>
        </w:tc>
        <w:tc>
          <w:tcPr>
            <w:tcW w:w="8337" w:type="dxa"/>
            <w:vAlign w:val="center"/>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维修网点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1</w:t>
            </w: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2</w:t>
            </w: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维修人员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响应时间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vAlign w:val="center"/>
          </w:tcPr>
          <w:p>
            <w:pPr>
              <w:adjustRightInd w:val="0"/>
              <w:snapToGrid w:val="0"/>
              <w:spacing w:line="360" w:lineRule="auto"/>
              <w:jc w:val="center"/>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服务承诺（售后服务范围和内容）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质保期后的服务费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43" w:type="dxa"/>
            <w:vAlign w:val="center"/>
          </w:tcPr>
          <w:p>
            <w:pPr>
              <w:adjustRightInd w:val="0"/>
              <w:snapToGrid w:val="0"/>
              <w:spacing w:line="360" w:lineRule="auto"/>
              <w:rPr>
                <w:rFonts w:asciiTheme="minorEastAsia" w:hAnsiTheme="minorEastAsia" w:eastAsiaTheme="minorEastAsia"/>
                <w:snapToGrid w:val="0"/>
                <w:kern w:val="0"/>
                <w:szCs w:val="21"/>
              </w:rPr>
            </w:pPr>
          </w:p>
        </w:tc>
        <w:tc>
          <w:tcPr>
            <w:tcW w:w="8337" w:type="dxa"/>
          </w:tcPr>
          <w:p>
            <w:pPr>
              <w:adjustRightInd w:val="0"/>
              <w:snapToGrid w:val="0"/>
              <w:spacing w:line="360" w:lineRule="auto"/>
              <w:jc w:val="center"/>
              <w:rPr>
                <w:rFonts w:asciiTheme="minorEastAsia" w:hAnsiTheme="minorEastAsia" w:eastAsiaTheme="minorEastAsia"/>
                <w:snapToGrid w:val="0"/>
                <w:kern w:val="0"/>
                <w:szCs w:val="21"/>
              </w:rPr>
            </w:pPr>
          </w:p>
        </w:tc>
      </w:tr>
    </w:tbl>
    <w:p>
      <w:pPr>
        <w:adjustRightInd w:val="0"/>
        <w:snapToGrid w:val="0"/>
        <w:spacing w:line="360" w:lineRule="auto"/>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注：表中相关内容亦可以附件形式进行描述，内容可自行添加。</w:t>
      </w: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投标人(盖公章)</w:t>
      </w:r>
    </w:p>
    <w:p>
      <w:pPr>
        <w:adjustRightInd w:val="0"/>
        <w:snapToGrid w:val="0"/>
        <w:spacing w:line="360" w:lineRule="auto"/>
        <w:ind w:firstLine="4158" w:firstLineChars="198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法定代表人或授权代表(签字或盖章)</w:t>
      </w:r>
    </w:p>
    <w:p>
      <w:pPr>
        <w:adjustRightInd w:val="0"/>
        <w:snapToGrid w:val="0"/>
        <w:spacing w:line="360" w:lineRule="auto"/>
        <w:ind w:firstLine="4200" w:firstLineChars="200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日  期：</w:t>
      </w:r>
    </w:p>
    <w:p>
      <w:pPr>
        <w:pStyle w:val="25"/>
        <w:adjustRightInd w:val="0"/>
        <w:snapToGrid w:val="0"/>
        <w:spacing w:line="360" w:lineRule="auto"/>
        <w:rPr>
          <w:rFonts w:asciiTheme="minorEastAsia" w:hAnsiTheme="minorEastAsia" w:eastAsiaTheme="minorEastAsia"/>
          <w:snapToGrid w:val="0"/>
          <w:kern w:val="0"/>
        </w:rPr>
      </w:pPr>
    </w:p>
    <w:p>
      <w:pPr>
        <w:autoSpaceDE w:val="0"/>
        <w:autoSpaceDN w:val="0"/>
        <w:adjustRightInd w:val="0"/>
        <w:snapToGrid w:val="0"/>
        <w:spacing w:line="360" w:lineRule="auto"/>
        <w:outlineLvl w:val="1"/>
        <w:rPr>
          <w:rFonts w:asciiTheme="minorEastAsia" w:hAnsiTheme="minorEastAsia" w:eastAsiaTheme="minorEastAsia"/>
          <w:snapToGrid w:val="0"/>
          <w:kern w:val="0"/>
          <w:szCs w:val="21"/>
        </w:rPr>
      </w:pPr>
    </w:p>
    <w:p>
      <w:pPr>
        <w:autoSpaceDE w:val="0"/>
        <w:autoSpaceDN w:val="0"/>
        <w:adjustRightInd w:val="0"/>
        <w:snapToGrid w:val="0"/>
        <w:spacing w:line="360" w:lineRule="auto"/>
        <w:outlineLvl w:val="1"/>
        <w:rPr>
          <w:rFonts w:asciiTheme="minorEastAsia" w:hAnsiTheme="minorEastAsia" w:eastAsiaTheme="minorEastAsia"/>
          <w:snapToGrid w:val="0"/>
          <w:kern w:val="0"/>
          <w:szCs w:val="21"/>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项目小组人员名单</w:t>
      </w:r>
    </w:p>
    <w:p>
      <w:pPr>
        <w:spacing w:line="360" w:lineRule="auto"/>
        <w:jc w:val="center"/>
        <w:rPr>
          <w:rFonts w:cs="仿宋_GB2312" w:asciiTheme="minorEastAsia" w:hAnsiTheme="minorEastAsia" w:eastAsiaTheme="minorEastAsia"/>
          <w:b/>
          <w:bCs/>
          <w:szCs w:val="21"/>
        </w:rPr>
      </w:pPr>
      <w:r>
        <w:rPr>
          <w:rFonts w:hint="eastAsia" w:cs="仿宋_GB2312" w:asciiTheme="minorEastAsia" w:hAnsiTheme="minorEastAsia" w:eastAsiaTheme="minorEastAsia"/>
          <w:szCs w:val="21"/>
        </w:rPr>
        <w:t>（由投标人根据采购需求及招标文件要求编制）</w:t>
      </w:r>
    </w:p>
    <w:p>
      <w:pPr>
        <w:keepNext/>
        <w:autoSpaceDE w:val="0"/>
        <w:autoSpaceDN w:val="0"/>
        <w:spacing w:line="360" w:lineRule="auto"/>
        <w:ind w:firstLine="477"/>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附表A:本项目的项目经理情况表</w:t>
      </w:r>
    </w:p>
    <w:tbl>
      <w:tblPr>
        <w:tblStyle w:val="45"/>
        <w:tblW w:w="8755" w:type="dxa"/>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页码</w:t>
            </w:r>
          </w:p>
        </w:tc>
        <w:tc>
          <w:tcPr>
            <w:tcW w:w="414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Cs w:val="21"/>
              </w:rPr>
            </w:pPr>
            <w:r>
              <w:rPr>
                <w:rFonts w:hint="eastAsia" w:cs="仿宋_GB2312" w:asciiTheme="minorEastAsia" w:hAnsiTheme="minorEastAsia" w:eastAsiaTheme="minorEastAsia"/>
                <w:szCs w:val="21"/>
              </w:rPr>
              <w:t>截止投标时间近3年业绩及承担的主要工作情况，曾担任项目经理的项目应列明细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职称</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毕业时间</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所学专业</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学历</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资质证书编号</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其他资质情况</w:t>
            </w:r>
          </w:p>
        </w:tc>
        <w:tc>
          <w:tcPr>
            <w:tcW w:w="1287"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r>
        <w:tblPrEx>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Cs w:val="21"/>
              </w:rPr>
            </w:pPr>
          </w:p>
        </w:tc>
        <w:tc>
          <w:tcPr>
            <w:tcW w:w="1260" w:type="dxa"/>
            <w:tcBorders>
              <w:top w:val="single" w:color="auto" w:sz="6" w:space="0"/>
              <w:left w:val="single" w:color="auto" w:sz="4" w:space="0"/>
              <w:bottom w:val="single" w:color="auto" w:sz="6" w:space="0"/>
              <w:right w:val="single" w:color="auto" w:sz="6"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Cs w:val="21"/>
              </w:rPr>
            </w:pPr>
          </w:p>
        </w:tc>
        <w:tc>
          <w:tcPr>
            <w:tcW w:w="414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p>
        </w:tc>
      </w:tr>
    </w:tbl>
    <w:p>
      <w:pPr>
        <w:autoSpaceDE w:val="0"/>
        <w:autoSpaceDN w:val="0"/>
        <w:spacing w:line="360" w:lineRule="auto"/>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注：须随表提交相应的证书复印件并注明所在投标技术文件页码。</w:t>
      </w:r>
    </w:p>
    <w:p>
      <w:pPr>
        <w:autoSpaceDE w:val="0"/>
        <w:autoSpaceDN w:val="0"/>
        <w:spacing w:line="360" w:lineRule="auto"/>
        <w:rPr>
          <w:rFonts w:cs="仿宋_GB2312" w:asciiTheme="minorEastAsia" w:hAnsiTheme="minorEastAsia" w:eastAsiaTheme="minorEastAsia"/>
          <w:b/>
          <w:szCs w:val="21"/>
        </w:rPr>
      </w:pPr>
      <w:r>
        <w:rPr>
          <w:rFonts w:hint="eastAsia" w:cs="仿宋_GB2312" w:asciiTheme="minorEastAsia" w:hAnsiTheme="minorEastAsia" w:eastAsiaTheme="minorEastAsia"/>
          <w:b/>
          <w:szCs w:val="21"/>
        </w:rPr>
        <w:t>附表B:本项目的项目小组人员情况表</w:t>
      </w:r>
      <w:r>
        <w:rPr>
          <w:rFonts w:hint="eastAsia" w:cs="仿宋_GB2312" w:asciiTheme="minorEastAsia" w:hAnsiTheme="minorEastAsia" w:eastAsiaTheme="minorEastAsia"/>
          <w:szCs w:val="21"/>
        </w:rPr>
        <w:t>（按此格式自制）</w:t>
      </w:r>
    </w:p>
    <w:tbl>
      <w:tblPr>
        <w:tblStyle w:val="45"/>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学历</w:t>
            </w:r>
          </w:p>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专业</w:t>
            </w:r>
          </w:p>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职称</w:t>
            </w:r>
          </w:p>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Cs w:val="21"/>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Cs w:val="21"/>
              </w:rPr>
            </w:pPr>
          </w:p>
        </w:tc>
      </w:tr>
    </w:tbl>
    <w:p>
      <w:pPr>
        <w:spacing w:line="360" w:lineRule="auto"/>
        <w:rPr>
          <w:rFonts w:cs="仿宋_GB2312" w:asciiTheme="minorEastAsia" w:hAnsiTheme="minorEastAsia" w:eastAsiaTheme="minorEastAsia"/>
          <w:b/>
          <w:bCs/>
          <w:szCs w:val="21"/>
        </w:rPr>
      </w:pPr>
      <w:r>
        <w:rPr>
          <w:rFonts w:hint="eastAsia" w:cs="仿宋_GB2312" w:asciiTheme="minorEastAsia" w:hAnsiTheme="minorEastAsia" w:eastAsiaTheme="minorEastAsia"/>
          <w:b/>
          <w:szCs w:val="21"/>
        </w:rPr>
        <w:t>注：投标人可按上述的格式自行编制，须随表提交相应的证书复印件并注明所在投标技术文件页码。</w:t>
      </w:r>
    </w:p>
    <w:p>
      <w:pPr>
        <w:spacing w:line="360" w:lineRule="auto"/>
        <w:rPr>
          <w:rFonts w:cs="仿宋_GB2312" w:asciiTheme="minorEastAsia" w:hAnsiTheme="minorEastAsia" w:eastAsiaTheme="minorEastAsia"/>
          <w:b/>
          <w:bCs/>
          <w:szCs w:val="21"/>
        </w:rPr>
      </w:pPr>
      <w:r>
        <w:rPr>
          <w:rFonts w:hint="eastAsia" w:cs="仿宋_GB2312" w:asciiTheme="minorEastAsia" w:hAnsiTheme="minorEastAsia" w:eastAsiaTheme="minorEastAsia"/>
          <w:b/>
          <w:szCs w:val="21"/>
        </w:rPr>
        <w:t>附表C:本项目的项目经理和小组人员近3个月交纳社保记录情况表</w:t>
      </w:r>
      <w:r>
        <w:rPr>
          <w:rFonts w:hint="eastAsia" w:cs="仿宋_GB2312" w:asciiTheme="minorEastAsia" w:hAnsiTheme="minorEastAsia" w:eastAsiaTheme="minorEastAsia"/>
          <w:szCs w:val="21"/>
        </w:rPr>
        <w:t>（以社保局缴纳凭证作附件）</w:t>
      </w:r>
    </w:p>
    <w:p>
      <w:pPr>
        <w:autoSpaceDE w:val="0"/>
        <w:autoSpaceDN w:val="0"/>
        <w:spacing w:line="360" w:lineRule="auto"/>
        <w:ind w:firstLine="3885" w:firstLineChars="185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投标人名称（公章）：</w:t>
      </w:r>
    </w:p>
    <w:p>
      <w:pPr>
        <w:autoSpaceDE w:val="0"/>
        <w:autoSpaceDN w:val="0"/>
        <w:spacing w:line="360" w:lineRule="auto"/>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 xml:space="preserve">                                     法定代表人或其授权代表（签字）：</w:t>
      </w:r>
    </w:p>
    <w:p>
      <w:pPr>
        <w:spacing w:line="360" w:lineRule="auto"/>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8"/>
          <w:szCs w:val="28"/>
        </w:rPr>
      </w:pPr>
    </w:p>
    <w:p>
      <w:pPr>
        <w:spacing w:line="360" w:lineRule="auto"/>
        <w:rPr>
          <w:rFonts w:asciiTheme="minorEastAsia" w:hAnsiTheme="minorEastAsia" w:eastAsiaTheme="minorEastAsia"/>
          <w:b/>
          <w:bCs/>
          <w:snapToGrid w:val="0"/>
          <w:kern w:val="0"/>
          <w:szCs w:val="21"/>
        </w:rPr>
      </w:pPr>
    </w:p>
    <w:p>
      <w:pPr>
        <w:spacing w:line="360" w:lineRule="auto"/>
        <w:rPr>
          <w:rFonts w:asciiTheme="minorEastAsia" w:hAnsiTheme="minorEastAsia" w:eastAsiaTheme="minorEastAsia"/>
          <w:b/>
          <w:bCs/>
          <w:snapToGrid w:val="0"/>
          <w:kern w:val="0"/>
          <w:szCs w:val="21"/>
        </w:rPr>
      </w:pPr>
      <w:r>
        <w:rPr>
          <w:rFonts w:hint="eastAsia" w:asciiTheme="minorEastAsia" w:hAnsiTheme="minorEastAsia" w:eastAsiaTheme="minorEastAsia"/>
          <w:b/>
          <w:bCs/>
          <w:snapToGrid w:val="0"/>
          <w:kern w:val="0"/>
          <w:szCs w:val="21"/>
        </w:rPr>
        <w:t>4.7主要业绩证明</w:t>
      </w:r>
    </w:p>
    <w:p>
      <w:pPr>
        <w:tabs>
          <w:tab w:val="left" w:pos="450"/>
        </w:tabs>
        <w:spacing w:line="360" w:lineRule="auto"/>
        <w:rPr>
          <w:rFonts w:cs="仿宋_GB2312" w:asciiTheme="minorEastAsia" w:hAnsiTheme="minorEastAsia" w:eastAsiaTheme="minorEastAsia"/>
          <w:b/>
          <w:kern w:val="0"/>
          <w:sz w:val="32"/>
          <w:szCs w:val="32"/>
          <w:lang w:val="zh-CN"/>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45"/>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 xml:space="preserve">投标人名称（公章）：                       </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 xml:space="preserve">                                      法定代表人或其授权代表（签字）：                   </w:t>
      </w:r>
    </w:p>
    <w:p>
      <w:pPr>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kern w:val="0"/>
          <w:sz w:val="28"/>
          <w:szCs w:val="28"/>
          <w:lang w:val="zh-CN"/>
        </w:rPr>
      </w:pPr>
      <w:r>
        <w:rPr>
          <w:rFonts w:hint="eastAsia" w:cs="仿宋_GB2312" w:asciiTheme="minorEastAsia" w:hAnsiTheme="minorEastAsia" w:eastAsiaTheme="minorEastAsia"/>
          <w:b/>
          <w:bCs/>
          <w:sz w:val="28"/>
          <w:szCs w:val="28"/>
        </w:rPr>
        <w:t>4.8</w:t>
      </w:r>
      <w:r>
        <w:rPr>
          <w:rFonts w:hint="eastAsia" w:cs="仿宋_GB2312" w:asciiTheme="minorEastAsia" w:hAnsiTheme="minorEastAsia" w:eastAsiaTheme="minorEastAsia"/>
          <w:b/>
          <w:kern w:val="0"/>
          <w:sz w:val="28"/>
          <w:szCs w:val="28"/>
          <w:lang w:val="zh-CN"/>
        </w:rPr>
        <w:t>优惠条件及特殊承诺</w:t>
      </w:r>
    </w:p>
    <w:p>
      <w:pPr>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（由投标人根据采购需求自行编制）</w:t>
      </w:r>
    </w:p>
    <w:p>
      <w:pPr>
        <w:spacing w:line="360" w:lineRule="auto"/>
        <w:jc w:val="center"/>
        <w:rPr>
          <w:rFonts w:cs="仿宋_GB2312" w:asciiTheme="minorEastAsia" w:hAnsiTheme="minorEastAsia" w:eastAsiaTheme="minorEastAsia"/>
          <w:szCs w:val="21"/>
        </w:rPr>
      </w:pPr>
    </w:p>
    <w:p>
      <w:pPr>
        <w:autoSpaceDE w:val="0"/>
        <w:autoSpaceDN w:val="0"/>
        <w:spacing w:line="360" w:lineRule="auto"/>
        <w:ind w:firstLine="3885" w:firstLineChars="185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投标人名称（公章）：</w:t>
      </w:r>
    </w:p>
    <w:p>
      <w:pPr>
        <w:autoSpaceDE w:val="0"/>
        <w:autoSpaceDN w:val="0"/>
        <w:spacing w:line="360" w:lineRule="auto"/>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 xml:space="preserve">                                     法定代表人或其授权代表（签字）：</w:t>
      </w:r>
    </w:p>
    <w:p>
      <w:pPr>
        <w:spacing w:line="360" w:lineRule="auto"/>
        <w:jc w:val="center"/>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 xml:space="preserve">                    日期：  年  月   日</w:t>
      </w:r>
    </w:p>
    <w:p>
      <w:pPr>
        <w:autoSpaceDE w:val="0"/>
        <w:autoSpaceDN w:val="0"/>
        <w:adjustRightInd w:val="0"/>
        <w:snapToGrid w:val="0"/>
        <w:spacing w:line="360" w:lineRule="auto"/>
        <w:outlineLvl w:val="1"/>
        <w:rPr>
          <w:rFonts w:asciiTheme="minorEastAsia" w:hAnsiTheme="minorEastAsia" w:eastAsiaTheme="minorEastAsia"/>
          <w:snapToGrid w:val="0"/>
          <w:kern w:val="0"/>
          <w:szCs w:val="21"/>
        </w:rPr>
      </w:pPr>
    </w:p>
    <w:p>
      <w:pPr>
        <w:autoSpaceDE w:val="0"/>
        <w:autoSpaceDN w:val="0"/>
        <w:adjustRightInd w:val="0"/>
        <w:snapToGrid w:val="0"/>
        <w:spacing w:line="360" w:lineRule="auto"/>
        <w:outlineLvl w:val="1"/>
        <w:rPr>
          <w:rFonts w:asciiTheme="minorEastAsia" w:hAnsiTheme="minorEastAsia" w:eastAsiaTheme="minorEastAsia"/>
          <w:snapToGrid w:val="0"/>
          <w:kern w:val="0"/>
          <w:szCs w:val="21"/>
        </w:rPr>
      </w:pPr>
    </w:p>
    <w:p>
      <w:pPr>
        <w:spacing w:line="360" w:lineRule="auto"/>
        <w:jc w:val="center"/>
        <w:rPr>
          <w:rFonts w:cs="仿宋_GB2312" w:asciiTheme="minorEastAsia" w:hAnsiTheme="minorEastAsia" w:eastAsiaTheme="minorEastAsia"/>
          <w:b/>
          <w:bCs/>
          <w:sz w:val="28"/>
          <w:szCs w:val="28"/>
        </w:rPr>
      </w:pPr>
      <w:r>
        <w:rPr>
          <w:rFonts w:hint="eastAsia" w:cs="仿宋_GB2312" w:asciiTheme="minorEastAsia" w:hAnsiTheme="minorEastAsia" w:eastAsiaTheme="minorEastAsia"/>
          <w:b/>
          <w:bCs/>
          <w:sz w:val="28"/>
          <w:szCs w:val="28"/>
        </w:rPr>
        <w:t>4.9验收方案</w:t>
      </w:r>
    </w:p>
    <w:p>
      <w:pPr>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（由投标人根据采购需求自行编制）</w:t>
      </w:r>
    </w:p>
    <w:p>
      <w:pPr>
        <w:spacing w:line="360" w:lineRule="auto"/>
        <w:jc w:val="center"/>
        <w:rPr>
          <w:rFonts w:cs="仿宋_GB2312" w:asciiTheme="minorEastAsia" w:hAnsiTheme="minorEastAsia" w:eastAsiaTheme="minorEastAsia"/>
          <w:szCs w:val="21"/>
        </w:rPr>
      </w:pPr>
    </w:p>
    <w:p>
      <w:pPr>
        <w:autoSpaceDE w:val="0"/>
        <w:autoSpaceDN w:val="0"/>
        <w:spacing w:line="360" w:lineRule="auto"/>
        <w:ind w:firstLine="4200" w:firstLineChars="2000"/>
        <w:rPr>
          <w:rFonts w:cs="仿宋_GB2312" w:asciiTheme="minorEastAsia" w:hAnsiTheme="minorEastAsia" w:eastAsiaTheme="minorEastAsia"/>
          <w:szCs w:val="21"/>
        </w:rPr>
      </w:pPr>
      <w:r>
        <w:rPr>
          <w:rFonts w:hint="eastAsia" w:cs="仿宋_GB2312" w:asciiTheme="minorEastAsia" w:hAnsiTheme="minorEastAsia" w:eastAsiaTheme="minorEastAsia"/>
          <w:kern w:val="0"/>
          <w:szCs w:val="21"/>
        </w:rPr>
        <w:t xml:space="preserve">投标人名称（公章）：                       </w:t>
      </w:r>
    </w:p>
    <w:p>
      <w:pPr>
        <w:autoSpaceDE w:val="0"/>
        <w:autoSpaceDN w:val="0"/>
        <w:spacing w:line="360" w:lineRule="auto"/>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 xml:space="preserve">                                        法定代表人或其授权代表（签字）：                   </w:t>
      </w:r>
    </w:p>
    <w:p>
      <w:pPr>
        <w:spacing w:line="360" w:lineRule="auto"/>
        <w:jc w:val="center"/>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rPr>
        <w:t xml:space="preserve">                          日期：   年  月   日</w:t>
      </w: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kern w:val="0"/>
          <w:sz w:val="28"/>
          <w:szCs w:val="28"/>
          <w:lang w:val="zh-CN"/>
        </w:rPr>
      </w:pPr>
      <w:r>
        <w:rPr>
          <w:rFonts w:hint="eastAsia" w:cs="仿宋_GB2312" w:asciiTheme="minorEastAsia" w:hAnsiTheme="minorEastAsia" w:eastAsiaTheme="minorEastAsia"/>
          <w:b/>
          <w:bCs/>
          <w:sz w:val="28"/>
          <w:szCs w:val="28"/>
        </w:rPr>
        <w:t>4.10关于</w:t>
      </w:r>
      <w:r>
        <w:rPr>
          <w:rFonts w:hint="eastAsia" w:cs="仿宋_GB2312" w:asciiTheme="minorEastAsia" w:hAnsiTheme="minorEastAsia" w:eastAsiaTheme="minorEastAsia"/>
          <w:b/>
          <w:kern w:val="0"/>
          <w:sz w:val="28"/>
          <w:szCs w:val="28"/>
          <w:lang w:val="zh-CN"/>
        </w:rPr>
        <w:t>对招标文件中有关条款的拒绝声明</w:t>
      </w:r>
    </w:p>
    <w:p>
      <w:pPr>
        <w:spacing w:line="360" w:lineRule="auto"/>
        <w:jc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（由投标人根据采购需求自行编制）</w:t>
      </w:r>
    </w:p>
    <w:p>
      <w:pPr>
        <w:spacing w:line="360" w:lineRule="auto"/>
        <w:rPr>
          <w:rFonts w:cs="仿宋_GB2312" w:asciiTheme="minorEastAsia" w:hAnsiTheme="minorEastAsia" w:eastAsiaTheme="minorEastAsia"/>
          <w:szCs w:val="21"/>
        </w:rPr>
      </w:pPr>
    </w:p>
    <w:p>
      <w:pPr>
        <w:autoSpaceDE w:val="0"/>
        <w:autoSpaceDN w:val="0"/>
        <w:spacing w:line="360" w:lineRule="auto"/>
        <w:ind w:firstLine="4410" w:firstLineChars="21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lang w:val="zh-CN"/>
        </w:rPr>
        <w:t xml:space="preserve">投标人名称（公章）：      </w:t>
      </w:r>
    </w:p>
    <w:p>
      <w:pPr>
        <w:autoSpaceDE w:val="0"/>
        <w:autoSpaceDN w:val="0"/>
        <w:spacing w:line="360" w:lineRule="auto"/>
        <w:rPr>
          <w:rFonts w:cs="仿宋_GB2312" w:asciiTheme="minorEastAsia" w:hAnsiTheme="minorEastAsia" w:eastAsiaTheme="minorEastAsia"/>
          <w:kern w:val="0"/>
          <w:szCs w:val="21"/>
          <w:lang w:val="zh-CN"/>
        </w:rPr>
      </w:pPr>
      <w:r>
        <w:rPr>
          <w:rFonts w:hint="eastAsia" w:cs="仿宋_GB2312" w:asciiTheme="minorEastAsia" w:hAnsiTheme="minorEastAsia" w:eastAsiaTheme="minorEastAsia"/>
          <w:kern w:val="0"/>
          <w:szCs w:val="21"/>
          <w:lang w:val="zh-CN"/>
        </w:rPr>
        <w:t xml:space="preserve">                                        法定代表人或其授权代表（签字）： </w:t>
      </w:r>
    </w:p>
    <w:p>
      <w:pPr>
        <w:spacing w:line="360" w:lineRule="auto"/>
        <w:jc w:val="center"/>
        <w:rPr>
          <w:rFonts w:cs="仿宋_GB2312" w:asciiTheme="minorEastAsia" w:hAnsiTheme="minorEastAsia" w:eastAsiaTheme="minorEastAsia"/>
          <w:kern w:val="0"/>
          <w:szCs w:val="21"/>
          <w:lang w:val="zh-CN"/>
        </w:rPr>
      </w:pPr>
      <w:r>
        <w:rPr>
          <w:rFonts w:hint="eastAsia" w:cs="仿宋_GB2312" w:asciiTheme="minorEastAsia" w:hAnsiTheme="minorEastAsia" w:eastAsiaTheme="minorEastAsia"/>
          <w:kern w:val="0"/>
          <w:szCs w:val="21"/>
          <w:lang w:val="zh-CN"/>
        </w:rPr>
        <w:t xml:space="preserve">                            日期：   年  月   日</w:t>
      </w:r>
    </w:p>
    <w:p>
      <w:pPr>
        <w:spacing w:line="360" w:lineRule="auto"/>
        <w:jc w:val="center"/>
        <w:rPr>
          <w:rFonts w:cs="仿宋_GB2312" w:asciiTheme="minorEastAsia" w:hAnsiTheme="minorEastAsia" w:eastAsiaTheme="minorEastAsia"/>
          <w:b/>
          <w:bCs/>
          <w:sz w:val="28"/>
          <w:szCs w:val="28"/>
        </w:rPr>
      </w:pPr>
    </w:p>
    <w:p>
      <w:pPr>
        <w:spacing w:line="360" w:lineRule="auto"/>
        <w:jc w:val="center"/>
        <w:rPr>
          <w:rFonts w:cs="仿宋_GB2312" w:asciiTheme="minorEastAsia" w:hAnsiTheme="minorEastAsia" w:eastAsiaTheme="minorEastAsia"/>
          <w:b/>
          <w:kern w:val="0"/>
          <w:sz w:val="28"/>
          <w:szCs w:val="28"/>
          <w:lang w:val="zh-CN"/>
        </w:rPr>
      </w:pPr>
      <w:r>
        <w:rPr>
          <w:rFonts w:hint="eastAsia" w:cs="仿宋_GB2312" w:asciiTheme="minorEastAsia" w:hAnsiTheme="minorEastAsia" w:eastAsiaTheme="minorEastAsia"/>
          <w:b/>
          <w:bCs/>
          <w:sz w:val="28"/>
          <w:szCs w:val="28"/>
        </w:rPr>
        <w:t>4.11认为需要的</w:t>
      </w:r>
      <w:r>
        <w:rPr>
          <w:rFonts w:hint="eastAsia" w:cs="仿宋_GB2312" w:asciiTheme="minorEastAsia" w:hAnsiTheme="minorEastAsia" w:eastAsiaTheme="minorEastAsia"/>
          <w:b/>
          <w:kern w:val="0"/>
          <w:sz w:val="28"/>
          <w:szCs w:val="28"/>
          <w:lang w:val="zh-CN"/>
        </w:rPr>
        <w:t>其他技术文件或说明</w:t>
      </w:r>
    </w:p>
    <w:p>
      <w:pPr>
        <w:spacing w:line="360" w:lineRule="auto"/>
        <w:ind w:firstLine="1890" w:firstLineChars="900"/>
        <w:rPr>
          <w:rFonts w:cs="仿宋_GB2312" w:asciiTheme="minorEastAsia" w:hAnsiTheme="minorEastAsia" w:eastAsiaTheme="minorEastAsia"/>
          <w:szCs w:val="21"/>
        </w:rPr>
      </w:pPr>
      <w:r>
        <w:rPr>
          <w:rFonts w:hint="eastAsia" w:cs="仿宋_GB2312" w:asciiTheme="minorEastAsia" w:hAnsiTheme="minorEastAsia" w:eastAsiaTheme="minorEastAsia"/>
          <w:szCs w:val="21"/>
        </w:rPr>
        <w:t>（由投标人根据采购需求自行编制）</w:t>
      </w:r>
    </w:p>
    <w:p>
      <w:pPr>
        <w:spacing w:line="360" w:lineRule="auto"/>
        <w:rPr>
          <w:rFonts w:cs="仿宋_GB2312" w:asciiTheme="minorEastAsia" w:hAnsiTheme="minorEastAsia" w:eastAsiaTheme="minorEastAsia"/>
          <w:szCs w:val="21"/>
        </w:rPr>
      </w:pPr>
    </w:p>
    <w:p>
      <w:pPr>
        <w:autoSpaceDE w:val="0"/>
        <w:autoSpaceDN w:val="0"/>
        <w:spacing w:line="360" w:lineRule="auto"/>
        <w:ind w:firstLine="4410" w:firstLineChars="2100"/>
        <w:rPr>
          <w:rFonts w:cs="仿宋_GB2312" w:asciiTheme="minorEastAsia" w:hAnsiTheme="minorEastAsia" w:eastAsiaTheme="minorEastAsia"/>
          <w:kern w:val="0"/>
          <w:szCs w:val="21"/>
        </w:rPr>
      </w:pPr>
      <w:r>
        <w:rPr>
          <w:rFonts w:hint="eastAsia" w:cs="仿宋_GB2312" w:asciiTheme="minorEastAsia" w:hAnsiTheme="minorEastAsia" w:eastAsiaTheme="minorEastAsia"/>
          <w:kern w:val="0"/>
          <w:szCs w:val="21"/>
          <w:lang w:val="zh-CN"/>
        </w:rPr>
        <w:t xml:space="preserve">投标人名称（公章）：      </w:t>
      </w:r>
    </w:p>
    <w:p>
      <w:pPr>
        <w:autoSpaceDE w:val="0"/>
        <w:autoSpaceDN w:val="0"/>
        <w:spacing w:line="360" w:lineRule="auto"/>
        <w:rPr>
          <w:rFonts w:cs="仿宋_GB2312" w:asciiTheme="minorEastAsia" w:hAnsiTheme="minorEastAsia" w:eastAsiaTheme="minorEastAsia"/>
          <w:kern w:val="0"/>
          <w:szCs w:val="21"/>
          <w:lang w:val="zh-CN"/>
        </w:rPr>
      </w:pPr>
      <w:r>
        <w:rPr>
          <w:rFonts w:hint="eastAsia" w:cs="仿宋_GB2312" w:asciiTheme="minorEastAsia" w:hAnsiTheme="minorEastAsia" w:eastAsiaTheme="minorEastAsia"/>
          <w:kern w:val="0"/>
          <w:szCs w:val="21"/>
          <w:lang w:val="zh-CN"/>
        </w:rPr>
        <w:t xml:space="preserve">                                        法定代表人或其授权代表（签字）： </w:t>
      </w:r>
    </w:p>
    <w:p>
      <w:pPr>
        <w:spacing w:line="360" w:lineRule="auto"/>
        <w:rPr>
          <w:rFonts w:cs="仿宋_GB2312" w:asciiTheme="minorEastAsia" w:hAnsiTheme="minorEastAsia" w:eastAsiaTheme="minorEastAsia"/>
          <w:b/>
          <w:bCs/>
          <w:szCs w:val="21"/>
        </w:rPr>
      </w:pPr>
      <w:r>
        <w:rPr>
          <w:rFonts w:hint="eastAsia" w:cs="仿宋_GB2312" w:asciiTheme="minorEastAsia" w:hAnsiTheme="minorEastAsia" w:eastAsiaTheme="minorEastAsia"/>
          <w:kern w:val="0"/>
          <w:szCs w:val="21"/>
          <w:lang w:val="zh-CN"/>
        </w:rPr>
        <w:t xml:space="preserve">                                        日期：  年  月   日</w:t>
      </w:r>
    </w:p>
    <w:p>
      <w:pPr>
        <w:autoSpaceDE w:val="0"/>
        <w:autoSpaceDN w:val="0"/>
        <w:adjustRightInd w:val="0"/>
        <w:snapToGrid w:val="0"/>
        <w:spacing w:line="360" w:lineRule="auto"/>
        <w:outlineLvl w:val="1"/>
        <w:rPr>
          <w:rFonts w:asciiTheme="minorEastAsia" w:hAnsiTheme="minorEastAsia" w:eastAsiaTheme="minorEastAsia"/>
          <w:snapToGrid w:val="0"/>
          <w:kern w:val="0"/>
          <w:sz w:val="28"/>
          <w:szCs w:val="28"/>
        </w:rPr>
      </w:pPr>
    </w:p>
    <w:sectPr>
      <w:footerReference r:id="rId10" w:type="default"/>
      <w:footerReference r:id="rId11" w:type="even"/>
      <w:pgSz w:w="11906" w:h="16838"/>
      <w:pgMar w:top="1134" w:right="1134" w:bottom="1134" w:left="1134" w:header="851" w:footer="68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Lucida Sans">
    <w:panose1 w:val="020B0602030504020204"/>
    <w:charset w:val="00"/>
    <w:family w:val="swiss"/>
    <w:pitch w:val="default"/>
    <w:sig w:usb0="00000003" w:usb1="00000000" w:usb2="00000000" w:usb3="00000000" w:csb0="20000001" w:csb1="00000000"/>
  </w:font>
  <w:font w:name="HelveticaNeueLT Std">
    <w:altName w:val="宋体"/>
    <w:panose1 w:val="00000000000000000000"/>
    <w:charset w:val="86"/>
    <w:family w:val="roma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Style w:val="50"/>
      </w:rPr>
      <w:fldChar w:fldCharType="begin"/>
    </w:r>
    <w:r>
      <w:rPr>
        <w:rStyle w:val="50"/>
      </w:rPr>
      <w:instrText xml:space="preserve"> PAGE </w:instrText>
    </w:r>
    <w:r>
      <w:rPr>
        <w:rStyle w:val="50"/>
      </w:rPr>
      <w:fldChar w:fldCharType="separate"/>
    </w:r>
    <w:r>
      <w:rPr>
        <w:rStyle w:val="50"/>
      </w:rPr>
      <w:t>1</w:t>
    </w:r>
    <w:r>
      <w:rPr>
        <w:rStyle w:val="5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900"/>
        <w:tab w:val="clear" w:pos="4153"/>
        <w:tab w:val="clear" w:pos="8306"/>
      </w:tabs>
      <w:jc w:val="center"/>
    </w:pPr>
    <w:r>
      <w:fldChar w:fldCharType="begin"/>
    </w:r>
    <w:r>
      <w:rPr>
        <w:rStyle w:val="50"/>
      </w:rPr>
      <w:instrText xml:space="preserve"> PAGE </w:instrText>
    </w:r>
    <w:r>
      <w:fldChar w:fldCharType="separate"/>
    </w:r>
    <w:r>
      <w:rPr>
        <w:rStyle w:val="50"/>
      </w:rPr>
      <w:t>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fldChar w:fldCharType="begin"/>
    </w:r>
    <w:r>
      <w:rPr>
        <w:rStyle w:val="50"/>
      </w:rPr>
      <w:instrText xml:space="preserve">PAGE  </w:instrText>
    </w:r>
    <w:r>
      <w:fldChar w:fldCharType="end"/>
    </w:r>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37</w:t>
    </w:r>
    <w:r>
      <w:rPr>
        <w:lang w:val="zh-CN"/>
      </w:rPr>
      <w:fldChar w:fldCharType="end"/>
    </w:r>
  </w:p>
  <w:p>
    <w:pPr>
      <w:pStyle w:val="3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63</w:t>
    </w:r>
    <w:r>
      <w:rPr>
        <w:lang w:val="zh-CN"/>
      </w:rPr>
      <w:fldChar w:fldCharType="end"/>
    </w:r>
  </w:p>
  <w:p>
    <w:pPr>
      <w:pStyle w:val="3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900"/>
        <w:tab w:val="clear" w:pos="4153"/>
        <w:tab w:val="clear" w:pos="8306"/>
      </w:tabs>
      <w:jc w:val="center"/>
    </w:pPr>
    <w:r>
      <w:rPr>
        <w:rStyle w:val="50"/>
      </w:rPr>
      <w:fldChar w:fldCharType="begin"/>
    </w:r>
    <w:r>
      <w:rPr>
        <w:rStyle w:val="50"/>
      </w:rPr>
      <w:instrText xml:space="preserve"> PAGE </w:instrText>
    </w:r>
    <w:r>
      <w:rPr>
        <w:rStyle w:val="50"/>
      </w:rPr>
      <w:fldChar w:fldCharType="separate"/>
    </w:r>
    <w:r>
      <w:rPr>
        <w:rStyle w:val="50"/>
      </w:rPr>
      <w:t>66</w:t>
    </w:r>
    <w:r>
      <w:rPr>
        <w:rStyle w:val="5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50"/>
      </w:rPr>
    </w:pPr>
    <w:r>
      <w:rPr>
        <w:rStyle w:val="50"/>
      </w:rPr>
      <w:fldChar w:fldCharType="begin"/>
    </w:r>
    <w:r>
      <w:rPr>
        <w:rStyle w:val="50"/>
      </w:rPr>
      <w:instrText xml:space="preserve">PAGE  </w:instrText>
    </w:r>
    <w:r>
      <w:rPr>
        <w:rStyle w:val="50"/>
      </w:rPr>
      <w:fldChar w:fldCharType="end"/>
    </w:r>
  </w:p>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440" w:lineRule="exact"/>
      <w:rPr>
        <w:rFonts w:ascii="宋体" w:hAnsi="宋体" w:cs="楷体_GB2312"/>
        <w:b/>
        <w:sz w:val="18"/>
        <w:szCs w:val="18"/>
        <w:u w:val="single"/>
      </w:rPr>
    </w:pPr>
    <w:r>
      <w:rPr>
        <w:rFonts w:hint="eastAsia" w:ascii="宋体" w:hAnsi="宋体" w:cs="楷体_GB2312"/>
        <w:b/>
        <w:sz w:val="18"/>
        <w:szCs w:val="18"/>
        <w:u w:val="single"/>
      </w:rPr>
      <w:t xml:space="preserve">市本级水旱灾害监测预警平台建设项目                                      浙江中诺招标代理有限公司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A"/>
    <w:multiLevelType w:val="multilevel"/>
    <w:tmpl w:val="0000002A"/>
    <w:lvl w:ilvl="0" w:tentative="0">
      <w:start w:val="1"/>
      <w:numFmt w:val="bullet"/>
      <w:pStyle w:val="239"/>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1">
    <w:nsid w:val="1BD1496D"/>
    <w:multiLevelType w:val="multilevel"/>
    <w:tmpl w:val="1BD1496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35D612B2"/>
    <w:multiLevelType w:val="multilevel"/>
    <w:tmpl w:val="35D612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167ADD"/>
    <w:multiLevelType w:val="singleLevel"/>
    <w:tmpl w:val="5A167ADD"/>
    <w:lvl w:ilvl="0" w:tentative="0">
      <w:start w:val="1"/>
      <w:numFmt w:val="chineseCounting"/>
      <w:suff w:val="nothing"/>
      <w:lvlText w:val="（%1）"/>
      <w:lvlJc w:val="left"/>
    </w:lvl>
  </w:abstractNum>
  <w:abstractNum w:abstractNumId="4">
    <w:nsid w:val="5A558122"/>
    <w:multiLevelType w:val="singleLevel"/>
    <w:tmpl w:val="5A558122"/>
    <w:lvl w:ilvl="0" w:tentative="0">
      <w:start w:val="2"/>
      <w:numFmt w:val="decimal"/>
      <w:suff w:val="space"/>
      <w:lvlText w:val="%1."/>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hideSpellingErrors/>
  <w:hideGrammaticalError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2OGVmMjk4ZmI5MzViMjgxZDQ4MTZiNjU3NzJiMDYifQ=="/>
  </w:docVars>
  <w:rsids>
    <w:rsidRoot w:val="00907D99"/>
    <w:rsid w:val="00000421"/>
    <w:rsid w:val="000011A1"/>
    <w:rsid w:val="00001B1F"/>
    <w:rsid w:val="00002E0A"/>
    <w:rsid w:val="00003310"/>
    <w:rsid w:val="00003507"/>
    <w:rsid w:val="000055A6"/>
    <w:rsid w:val="0000681A"/>
    <w:rsid w:val="000068BD"/>
    <w:rsid w:val="0001005F"/>
    <w:rsid w:val="00010AC8"/>
    <w:rsid w:val="00010D85"/>
    <w:rsid w:val="00010FB3"/>
    <w:rsid w:val="00011B49"/>
    <w:rsid w:val="000121DC"/>
    <w:rsid w:val="000124A1"/>
    <w:rsid w:val="00012EA5"/>
    <w:rsid w:val="00013955"/>
    <w:rsid w:val="00013E86"/>
    <w:rsid w:val="000143B8"/>
    <w:rsid w:val="00015079"/>
    <w:rsid w:val="00016ECE"/>
    <w:rsid w:val="000172DD"/>
    <w:rsid w:val="00017D1C"/>
    <w:rsid w:val="00020BD5"/>
    <w:rsid w:val="0002150A"/>
    <w:rsid w:val="0002154B"/>
    <w:rsid w:val="00021947"/>
    <w:rsid w:val="0002273F"/>
    <w:rsid w:val="000227D3"/>
    <w:rsid w:val="00024800"/>
    <w:rsid w:val="0002518A"/>
    <w:rsid w:val="00025FCE"/>
    <w:rsid w:val="0002652A"/>
    <w:rsid w:val="000270B5"/>
    <w:rsid w:val="000273A6"/>
    <w:rsid w:val="00027B72"/>
    <w:rsid w:val="000301C3"/>
    <w:rsid w:val="000302C6"/>
    <w:rsid w:val="0003077F"/>
    <w:rsid w:val="00030FD2"/>
    <w:rsid w:val="00031413"/>
    <w:rsid w:val="000318BF"/>
    <w:rsid w:val="00032184"/>
    <w:rsid w:val="00033653"/>
    <w:rsid w:val="00033DAD"/>
    <w:rsid w:val="00033EC1"/>
    <w:rsid w:val="0003401D"/>
    <w:rsid w:val="00034260"/>
    <w:rsid w:val="00034316"/>
    <w:rsid w:val="000355FA"/>
    <w:rsid w:val="0003788A"/>
    <w:rsid w:val="00037979"/>
    <w:rsid w:val="00037B23"/>
    <w:rsid w:val="00037CEB"/>
    <w:rsid w:val="00040566"/>
    <w:rsid w:val="0004071C"/>
    <w:rsid w:val="00040829"/>
    <w:rsid w:val="000412D8"/>
    <w:rsid w:val="00041405"/>
    <w:rsid w:val="00043437"/>
    <w:rsid w:val="00043989"/>
    <w:rsid w:val="00043A05"/>
    <w:rsid w:val="000440D7"/>
    <w:rsid w:val="000444BB"/>
    <w:rsid w:val="00044803"/>
    <w:rsid w:val="00045C1C"/>
    <w:rsid w:val="0004629C"/>
    <w:rsid w:val="00046B4C"/>
    <w:rsid w:val="000471E8"/>
    <w:rsid w:val="00047921"/>
    <w:rsid w:val="00052EB5"/>
    <w:rsid w:val="0005312F"/>
    <w:rsid w:val="000534E8"/>
    <w:rsid w:val="000538EF"/>
    <w:rsid w:val="00054A9A"/>
    <w:rsid w:val="00054AA3"/>
    <w:rsid w:val="00054B98"/>
    <w:rsid w:val="0005536D"/>
    <w:rsid w:val="00055534"/>
    <w:rsid w:val="000569EA"/>
    <w:rsid w:val="00056FE2"/>
    <w:rsid w:val="000573EC"/>
    <w:rsid w:val="00057B60"/>
    <w:rsid w:val="00057C91"/>
    <w:rsid w:val="00057D54"/>
    <w:rsid w:val="00060087"/>
    <w:rsid w:val="000601CB"/>
    <w:rsid w:val="00060252"/>
    <w:rsid w:val="000602FC"/>
    <w:rsid w:val="000604D2"/>
    <w:rsid w:val="0006069F"/>
    <w:rsid w:val="0006073D"/>
    <w:rsid w:val="00060A2A"/>
    <w:rsid w:val="00060F96"/>
    <w:rsid w:val="000615BC"/>
    <w:rsid w:val="0006178C"/>
    <w:rsid w:val="0006266D"/>
    <w:rsid w:val="00062C7E"/>
    <w:rsid w:val="00064B93"/>
    <w:rsid w:val="0006513F"/>
    <w:rsid w:val="00065640"/>
    <w:rsid w:val="00065A88"/>
    <w:rsid w:val="000663E6"/>
    <w:rsid w:val="0006652D"/>
    <w:rsid w:val="00066EF0"/>
    <w:rsid w:val="0006754C"/>
    <w:rsid w:val="000677A0"/>
    <w:rsid w:val="000707D3"/>
    <w:rsid w:val="000711F0"/>
    <w:rsid w:val="00071422"/>
    <w:rsid w:val="000716E2"/>
    <w:rsid w:val="000735A6"/>
    <w:rsid w:val="00073642"/>
    <w:rsid w:val="0007366C"/>
    <w:rsid w:val="0007367D"/>
    <w:rsid w:val="000736EF"/>
    <w:rsid w:val="00073B10"/>
    <w:rsid w:val="00073EF3"/>
    <w:rsid w:val="000741B6"/>
    <w:rsid w:val="00074C65"/>
    <w:rsid w:val="000756BD"/>
    <w:rsid w:val="0007582A"/>
    <w:rsid w:val="00075ECE"/>
    <w:rsid w:val="00076B0B"/>
    <w:rsid w:val="00076D73"/>
    <w:rsid w:val="00076D9B"/>
    <w:rsid w:val="00080A5E"/>
    <w:rsid w:val="00082ADB"/>
    <w:rsid w:val="00084EBA"/>
    <w:rsid w:val="000850E2"/>
    <w:rsid w:val="00086090"/>
    <w:rsid w:val="00087190"/>
    <w:rsid w:val="0008732B"/>
    <w:rsid w:val="000874D3"/>
    <w:rsid w:val="0008764E"/>
    <w:rsid w:val="00090345"/>
    <w:rsid w:val="000912BC"/>
    <w:rsid w:val="000916D9"/>
    <w:rsid w:val="0009176C"/>
    <w:rsid w:val="00092185"/>
    <w:rsid w:val="00092473"/>
    <w:rsid w:val="000925AC"/>
    <w:rsid w:val="00092B5C"/>
    <w:rsid w:val="00092BEA"/>
    <w:rsid w:val="000933FA"/>
    <w:rsid w:val="000941DD"/>
    <w:rsid w:val="000946B7"/>
    <w:rsid w:val="00094CAB"/>
    <w:rsid w:val="00094F37"/>
    <w:rsid w:val="0009501D"/>
    <w:rsid w:val="0009599C"/>
    <w:rsid w:val="00095CDC"/>
    <w:rsid w:val="000973AF"/>
    <w:rsid w:val="00097503"/>
    <w:rsid w:val="00097815"/>
    <w:rsid w:val="00097D46"/>
    <w:rsid w:val="000A0827"/>
    <w:rsid w:val="000A1322"/>
    <w:rsid w:val="000A133D"/>
    <w:rsid w:val="000A2E70"/>
    <w:rsid w:val="000A3AD3"/>
    <w:rsid w:val="000A4E88"/>
    <w:rsid w:val="000A564F"/>
    <w:rsid w:val="000A5F0B"/>
    <w:rsid w:val="000A5F4E"/>
    <w:rsid w:val="000A61FC"/>
    <w:rsid w:val="000A6BCF"/>
    <w:rsid w:val="000A7FE5"/>
    <w:rsid w:val="000B0A20"/>
    <w:rsid w:val="000B1C4D"/>
    <w:rsid w:val="000B256A"/>
    <w:rsid w:val="000B29BE"/>
    <w:rsid w:val="000B2E7F"/>
    <w:rsid w:val="000B31D9"/>
    <w:rsid w:val="000B3469"/>
    <w:rsid w:val="000B3FE9"/>
    <w:rsid w:val="000B4834"/>
    <w:rsid w:val="000B55B4"/>
    <w:rsid w:val="000B6287"/>
    <w:rsid w:val="000B6608"/>
    <w:rsid w:val="000B766E"/>
    <w:rsid w:val="000B781E"/>
    <w:rsid w:val="000C0287"/>
    <w:rsid w:val="000C03D5"/>
    <w:rsid w:val="000C0F4D"/>
    <w:rsid w:val="000C22A9"/>
    <w:rsid w:val="000C3A61"/>
    <w:rsid w:val="000C455A"/>
    <w:rsid w:val="000C53E5"/>
    <w:rsid w:val="000C5413"/>
    <w:rsid w:val="000C55C4"/>
    <w:rsid w:val="000C5FCD"/>
    <w:rsid w:val="000C6ACA"/>
    <w:rsid w:val="000C6C14"/>
    <w:rsid w:val="000C7280"/>
    <w:rsid w:val="000C72D3"/>
    <w:rsid w:val="000C7FFA"/>
    <w:rsid w:val="000D0D7A"/>
    <w:rsid w:val="000D0FC4"/>
    <w:rsid w:val="000D2547"/>
    <w:rsid w:val="000D36D3"/>
    <w:rsid w:val="000D39A0"/>
    <w:rsid w:val="000D40B3"/>
    <w:rsid w:val="000D421E"/>
    <w:rsid w:val="000D5F5B"/>
    <w:rsid w:val="000D655F"/>
    <w:rsid w:val="000D65D4"/>
    <w:rsid w:val="000D6E53"/>
    <w:rsid w:val="000D7596"/>
    <w:rsid w:val="000D7678"/>
    <w:rsid w:val="000D76C2"/>
    <w:rsid w:val="000E0170"/>
    <w:rsid w:val="000E0234"/>
    <w:rsid w:val="000E0BD9"/>
    <w:rsid w:val="000E1117"/>
    <w:rsid w:val="000E165C"/>
    <w:rsid w:val="000E1F5F"/>
    <w:rsid w:val="000E2141"/>
    <w:rsid w:val="000E2761"/>
    <w:rsid w:val="000E3EBA"/>
    <w:rsid w:val="000E406C"/>
    <w:rsid w:val="000E49BE"/>
    <w:rsid w:val="000E536D"/>
    <w:rsid w:val="000E585B"/>
    <w:rsid w:val="000E6FDF"/>
    <w:rsid w:val="000F16AD"/>
    <w:rsid w:val="000F1E4F"/>
    <w:rsid w:val="000F2382"/>
    <w:rsid w:val="000F2D41"/>
    <w:rsid w:val="000F3060"/>
    <w:rsid w:val="000F315C"/>
    <w:rsid w:val="000F3AE6"/>
    <w:rsid w:val="000F42DF"/>
    <w:rsid w:val="000F4463"/>
    <w:rsid w:val="000F4F6C"/>
    <w:rsid w:val="000F53BD"/>
    <w:rsid w:val="000F5653"/>
    <w:rsid w:val="000F5F3E"/>
    <w:rsid w:val="000F5F92"/>
    <w:rsid w:val="000F64F2"/>
    <w:rsid w:val="000F6E7B"/>
    <w:rsid w:val="0010007D"/>
    <w:rsid w:val="00100DC4"/>
    <w:rsid w:val="0010108B"/>
    <w:rsid w:val="001014D7"/>
    <w:rsid w:val="00101953"/>
    <w:rsid w:val="00101D7A"/>
    <w:rsid w:val="00101D81"/>
    <w:rsid w:val="00101EFA"/>
    <w:rsid w:val="00102603"/>
    <w:rsid w:val="0010284F"/>
    <w:rsid w:val="00102C31"/>
    <w:rsid w:val="00103990"/>
    <w:rsid w:val="0010418E"/>
    <w:rsid w:val="0010464C"/>
    <w:rsid w:val="001053C7"/>
    <w:rsid w:val="00105A92"/>
    <w:rsid w:val="00105F40"/>
    <w:rsid w:val="0010706E"/>
    <w:rsid w:val="001073C4"/>
    <w:rsid w:val="001074B7"/>
    <w:rsid w:val="00107ADC"/>
    <w:rsid w:val="001106B0"/>
    <w:rsid w:val="001109D1"/>
    <w:rsid w:val="00110BA6"/>
    <w:rsid w:val="00110FEA"/>
    <w:rsid w:val="0011120C"/>
    <w:rsid w:val="00112693"/>
    <w:rsid w:val="0011271D"/>
    <w:rsid w:val="00113341"/>
    <w:rsid w:val="0011356C"/>
    <w:rsid w:val="00113708"/>
    <w:rsid w:val="00113753"/>
    <w:rsid w:val="0011398B"/>
    <w:rsid w:val="001148EA"/>
    <w:rsid w:val="00114E5C"/>
    <w:rsid w:val="001152E2"/>
    <w:rsid w:val="0011601D"/>
    <w:rsid w:val="001174CF"/>
    <w:rsid w:val="001179DF"/>
    <w:rsid w:val="001204E2"/>
    <w:rsid w:val="00120AC6"/>
    <w:rsid w:val="001214E7"/>
    <w:rsid w:val="00121843"/>
    <w:rsid w:val="00121B62"/>
    <w:rsid w:val="00121E58"/>
    <w:rsid w:val="001228B5"/>
    <w:rsid w:val="0012353A"/>
    <w:rsid w:val="0012367F"/>
    <w:rsid w:val="00123C40"/>
    <w:rsid w:val="001244C7"/>
    <w:rsid w:val="00125111"/>
    <w:rsid w:val="0012551C"/>
    <w:rsid w:val="00125ACC"/>
    <w:rsid w:val="00125D52"/>
    <w:rsid w:val="00125E2B"/>
    <w:rsid w:val="00126E42"/>
    <w:rsid w:val="0012706C"/>
    <w:rsid w:val="001273C4"/>
    <w:rsid w:val="00127AC1"/>
    <w:rsid w:val="00130002"/>
    <w:rsid w:val="0013132C"/>
    <w:rsid w:val="001318B4"/>
    <w:rsid w:val="00131EF8"/>
    <w:rsid w:val="001340E2"/>
    <w:rsid w:val="00134277"/>
    <w:rsid w:val="00135274"/>
    <w:rsid w:val="00135484"/>
    <w:rsid w:val="0013621D"/>
    <w:rsid w:val="00136EAE"/>
    <w:rsid w:val="001370CD"/>
    <w:rsid w:val="0013735B"/>
    <w:rsid w:val="001374AE"/>
    <w:rsid w:val="00137A0A"/>
    <w:rsid w:val="00140490"/>
    <w:rsid w:val="001417B0"/>
    <w:rsid w:val="0014189B"/>
    <w:rsid w:val="001418D6"/>
    <w:rsid w:val="00141965"/>
    <w:rsid w:val="00141DAF"/>
    <w:rsid w:val="00141ED2"/>
    <w:rsid w:val="0014251D"/>
    <w:rsid w:val="0014321B"/>
    <w:rsid w:val="00144F0B"/>
    <w:rsid w:val="00145DDE"/>
    <w:rsid w:val="00146627"/>
    <w:rsid w:val="001468AF"/>
    <w:rsid w:val="00146D36"/>
    <w:rsid w:val="0014721A"/>
    <w:rsid w:val="0014788C"/>
    <w:rsid w:val="00147A46"/>
    <w:rsid w:val="00147AEE"/>
    <w:rsid w:val="00150E75"/>
    <w:rsid w:val="0015161D"/>
    <w:rsid w:val="00151947"/>
    <w:rsid w:val="00151C89"/>
    <w:rsid w:val="0015230F"/>
    <w:rsid w:val="00152338"/>
    <w:rsid w:val="0015244F"/>
    <w:rsid w:val="00152938"/>
    <w:rsid w:val="00152B0E"/>
    <w:rsid w:val="001548C1"/>
    <w:rsid w:val="00154B1D"/>
    <w:rsid w:val="00155013"/>
    <w:rsid w:val="001558B7"/>
    <w:rsid w:val="00155ADC"/>
    <w:rsid w:val="00155B78"/>
    <w:rsid w:val="00155D66"/>
    <w:rsid w:val="00155EB4"/>
    <w:rsid w:val="00156E28"/>
    <w:rsid w:val="00157229"/>
    <w:rsid w:val="00160CB1"/>
    <w:rsid w:val="00162997"/>
    <w:rsid w:val="001637B4"/>
    <w:rsid w:val="001639A0"/>
    <w:rsid w:val="001639EC"/>
    <w:rsid w:val="00164F62"/>
    <w:rsid w:val="00165086"/>
    <w:rsid w:val="001652CA"/>
    <w:rsid w:val="00165589"/>
    <w:rsid w:val="00165AE0"/>
    <w:rsid w:val="00165FFA"/>
    <w:rsid w:val="00166039"/>
    <w:rsid w:val="00166D80"/>
    <w:rsid w:val="00166F01"/>
    <w:rsid w:val="00166F39"/>
    <w:rsid w:val="00166FE0"/>
    <w:rsid w:val="00167A8A"/>
    <w:rsid w:val="0017004F"/>
    <w:rsid w:val="001702F6"/>
    <w:rsid w:val="00170894"/>
    <w:rsid w:val="00170BC4"/>
    <w:rsid w:val="0017126B"/>
    <w:rsid w:val="00171765"/>
    <w:rsid w:val="0017313F"/>
    <w:rsid w:val="0017384F"/>
    <w:rsid w:val="0017491E"/>
    <w:rsid w:val="0017495C"/>
    <w:rsid w:val="001752F1"/>
    <w:rsid w:val="001757FB"/>
    <w:rsid w:val="00176014"/>
    <w:rsid w:val="001761D4"/>
    <w:rsid w:val="001767A8"/>
    <w:rsid w:val="00176942"/>
    <w:rsid w:val="00176E11"/>
    <w:rsid w:val="0017724B"/>
    <w:rsid w:val="00177352"/>
    <w:rsid w:val="00177677"/>
    <w:rsid w:val="00177824"/>
    <w:rsid w:val="001807C1"/>
    <w:rsid w:val="00180A7D"/>
    <w:rsid w:val="00180CB2"/>
    <w:rsid w:val="00181078"/>
    <w:rsid w:val="001810C5"/>
    <w:rsid w:val="001814E2"/>
    <w:rsid w:val="001820F6"/>
    <w:rsid w:val="00182352"/>
    <w:rsid w:val="00182707"/>
    <w:rsid w:val="00182CF8"/>
    <w:rsid w:val="0018360F"/>
    <w:rsid w:val="001837D6"/>
    <w:rsid w:val="001841AE"/>
    <w:rsid w:val="00184E5D"/>
    <w:rsid w:val="00184F34"/>
    <w:rsid w:val="00185841"/>
    <w:rsid w:val="00185889"/>
    <w:rsid w:val="00187456"/>
    <w:rsid w:val="001900F0"/>
    <w:rsid w:val="001902E1"/>
    <w:rsid w:val="0019074F"/>
    <w:rsid w:val="001910CE"/>
    <w:rsid w:val="00191961"/>
    <w:rsid w:val="00191CC7"/>
    <w:rsid w:val="00191F29"/>
    <w:rsid w:val="00192033"/>
    <w:rsid w:val="00192502"/>
    <w:rsid w:val="00192A22"/>
    <w:rsid w:val="00192BF0"/>
    <w:rsid w:val="00192D93"/>
    <w:rsid w:val="00193D6D"/>
    <w:rsid w:val="001951D3"/>
    <w:rsid w:val="0019562A"/>
    <w:rsid w:val="0019790B"/>
    <w:rsid w:val="001A007A"/>
    <w:rsid w:val="001A0289"/>
    <w:rsid w:val="001A09CA"/>
    <w:rsid w:val="001A187A"/>
    <w:rsid w:val="001A215B"/>
    <w:rsid w:val="001A2720"/>
    <w:rsid w:val="001A2FE0"/>
    <w:rsid w:val="001A441E"/>
    <w:rsid w:val="001A4A2A"/>
    <w:rsid w:val="001A6130"/>
    <w:rsid w:val="001A6995"/>
    <w:rsid w:val="001A7178"/>
    <w:rsid w:val="001A751B"/>
    <w:rsid w:val="001A7945"/>
    <w:rsid w:val="001A7C65"/>
    <w:rsid w:val="001A7D57"/>
    <w:rsid w:val="001B078E"/>
    <w:rsid w:val="001B0E83"/>
    <w:rsid w:val="001B1386"/>
    <w:rsid w:val="001B27F5"/>
    <w:rsid w:val="001B2CDC"/>
    <w:rsid w:val="001B3CDB"/>
    <w:rsid w:val="001B3FF3"/>
    <w:rsid w:val="001B5015"/>
    <w:rsid w:val="001B522F"/>
    <w:rsid w:val="001B5335"/>
    <w:rsid w:val="001B5592"/>
    <w:rsid w:val="001B591C"/>
    <w:rsid w:val="001B6197"/>
    <w:rsid w:val="001B7187"/>
    <w:rsid w:val="001B7A1A"/>
    <w:rsid w:val="001B7C2F"/>
    <w:rsid w:val="001B7E31"/>
    <w:rsid w:val="001C2086"/>
    <w:rsid w:val="001C238D"/>
    <w:rsid w:val="001C262C"/>
    <w:rsid w:val="001C296B"/>
    <w:rsid w:val="001C3179"/>
    <w:rsid w:val="001C324C"/>
    <w:rsid w:val="001C35C5"/>
    <w:rsid w:val="001C3BD5"/>
    <w:rsid w:val="001C3CC2"/>
    <w:rsid w:val="001C3F89"/>
    <w:rsid w:val="001C40AE"/>
    <w:rsid w:val="001C4494"/>
    <w:rsid w:val="001C48A6"/>
    <w:rsid w:val="001C540C"/>
    <w:rsid w:val="001C5538"/>
    <w:rsid w:val="001C5646"/>
    <w:rsid w:val="001C5F33"/>
    <w:rsid w:val="001C654F"/>
    <w:rsid w:val="001C66FF"/>
    <w:rsid w:val="001C7452"/>
    <w:rsid w:val="001C7D0D"/>
    <w:rsid w:val="001C7D22"/>
    <w:rsid w:val="001D0074"/>
    <w:rsid w:val="001D01FC"/>
    <w:rsid w:val="001D0654"/>
    <w:rsid w:val="001D0DF3"/>
    <w:rsid w:val="001D2C99"/>
    <w:rsid w:val="001D34C5"/>
    <w:rsid w:val="001D3B53"/>
    <w:rsid w:val="001D5025"/>
    <w:rsid w:val="001D66C6"/>
    <w:rsid w:val="001D743E"/>
    <w:rsid w:val="001D785F"/>
    <w:rsid w:val="001D7AF6"/>
    <w:rsid w:val="001E05CB"/>
    <w:rsid w:val="001E0C04"/>
    <w:rsid w:val="001E183C"/>
    <w:rsid w:val="001E1B7D"/>
    <w:rsid w:val="001E2101"/>
    <w:rsid w:val="001E28C7"/>
    <w:rsid w:val="001E3BED"/>
    <w:rsid w:val="001E3D40"/>
    <w:rsid w:val="001E4C4D"/>
    <w:rsid w:val="001E5D10"/>
    <w:rsid w:val="001E6398"/>
    <w:rsid w:val="001E756A"/>
    <w:rsid w:val="001E7AFA"/>
    <w:rsid w:val="001E7B6B"/>
    <w:rsid w:val="001F07B0"/>
    <w:rsid w:val="001F11CB"/>
    <w:rsid w:val="001F1330"/>
    <w:rsid w:val="001F1709"/>
    <w:rsid w:val="001F1713"/>
    <w:rsid w:val="001F1A74"/>
    <w:rsid w:val="001F1ECB"/>
    <w:rsid w:val="001F246F"/>
    <w:rsid w:val="001F285E"/>
    <w:rsid w:val="001F28E2"/>
    <w:rsid w:val="001F2F8E"/>
    <w:rsid w:val="001F314D"/>
    <w:rsid w:val="001F36AE"/>
    <w:rsid w:val="001F4BC4"/>
    <w:rsid w:val="001F4E54"/>
    <w:rsid w:val="001F61F6"/>
    <w:rsid w:val="001F6F9E"/>
    <w:rsid w:val="001F729D"/>
    <w:rsid w:val="001F741F"/>
    <w:rsid w:val="001F7A5F"/>
    <w:rsid w:val="0020028B"/>
    <w:rsid w:val="00200D81"/>
    <w:rsid w:val="00201E40"/>
    <w:rsid w:val="002020C4"/>
    <w:rsid w:val="002020E4"/>
    <w:rsid w:val="00204A2D"/>
    <w:rsid w:val="00204D29"/>
    <w:rsid w:val="00204E43"/>
    <w:rsid w:val="00206A81"/>
    <w:rsid w:val="002074A1"/>
    <w:rsid w:val="00207C95"/>
    <w:rsid w:val="00210097"/>
    <w:rsid w:val="0021109E"/>
    <w:rsid w:val="00211299"/>
    <w:rsid w:val="0021214E"/>
    <w:rsid w:val="00212F1A"/>
    <w:rsid w:val="0021332E"/>
    <w:rsid w:val="00213E72"/>
    <w:rsid w:val="00213FA3"/>
    <w:rsid w:val="002143E3"/>
    <w:rsid w:val="002153A6"/>
    <w:rsid w:val="002153EF"/>
    <w:rsid w:val="00215936"/>
    <w:rsid w:val="002159D8"/>
    <w:rsid w:val="00215E0A"/>
    <w:rsid w:val="00216D8B"/>
    <w:rsid w:val="00217301"/>
    <w:rsid w:val="00217714"/>
    <w:rsid w:val="002205D0"/>
    <w:rsid w:val="00220DBD"/>
    <w:rsid w:val="0022160E"/>
    <w:rsid w:val="00221D32"/>
    <w:rsid w:val="002227BE"/>
    <w:rsid w:val="00222A7E"/>
    <w:rsid w:val="00222B76"/>
    <w:rsid w:val="00222E29"/>
    <w:rsid w:val="0022384B"/>
    <w:rsid w:val="00223AB1"/>
    <w:rsid w:val="00223AE2"/>
    <w:rsid w:val="00223C4F"/>
    <w:rsid w:val="00224666"/>
    <w:rsid w:val="00224D51"/>
    <w:rsid w:val="00225CA1"/>
    <w:rsid w:val="00225DF2"/>
    <w:rsid w:val="00226856"/>
    <w:rsid w:val="002271BF"/>
    <w:rsid w:val="0022733A"/>
    <w:rsid w:val="00227484"/>
    <w:rsid w:val="00227AD0"/>
    <w:rsid w:val="0023093B"/>
    <w:rsid w:val="00230D97"/>
    <w:rsid w:val="002313FA"/>
    <w:rsid w:val="00231F7E"/>
    <w:rsid w:val="00232BBE"/>
    <w:rsid w:val="0023426D"/>
    <w:rsid w:val="00234295"/>
    <w:rsid w:val="00234C70"/>
    <w:rsid w:val="002358C0"/>
    <w:rsid w:val="00235EDA"/>
    <w:rsid w:val="0023726D"/>
    <w:rsid w:val="0023779F"/>
    <w:rsid w:val="00237BA7"/>
    <w:rsid w:val="002407A8"/>
    <w:rsid w:val="00240ED3"/>
    <w:rsid w:val="00243218"/>
    <w:rsid w:val="00243714"/>
    <w:rsid w:val="00243D57"/>
    <w:rsid w:val="00244551"/>
    <w:rsid w:val="00245986"/>
    <w:rsid w:val="00245E68"/>
    <w:rsid w:val="00246578"/>
    <w:rsid w:val="00246EF2"/>
    <w:rsid w:val="00247BE6"/>
    <w:rsid w:val="00247DD1"/>
    <w:rsid w:val="0025286D"/>
    <w:rsid w:val="002533AE"/>
    <w:rsid w:val="00253E16"/>
    <w:rsid w:val="002541C5"/>
    <w:rsid w:val="002543D9"/>
    <w:rsid w:val="0025452C"/>
    <w:rsid w:val="00254AFD"/>
    <w:rsid w:val="00255558"/>
    <w:rsid w:val="00255B36"/>
    <w:rsid w:val="002561CC"/>
    <w:rsid w:val="00256590"/>
    <w:rsid w:val="0025674A"/>
    <w:rsid w:val="00256E64"/>
    <w:rsid w:val="00256E69"/>
    <w:rsid w:val="00257B48"/>
    <w:rsid w:val="00257D4D"/>
    <w:rsid w:val="00260656"/>
    <w:rsid w:val="00260CF2"/>
    <w:rsid w:val="00261120"/>
    <w:rsid w:val="00263A07"/>
    <w:rsid w:val="0026481B"/>
    <w:rsid w:val="00264B96"/>
    <w:rsid w:val="002655C1"/>
    <w:rsid w:val="00265EB0"/>
    <w:rsid w:val="00266448"/>
    <w:rsid w:val="00266EFD"/>
    <w:rsid w:val="002672C8"/>
    <w:rsid w:val="002676F5"/>
    <w:rsid w:val="0026793E"/>
    <w:rsid w:val="00267EF0"/>
    <w:rsid w:val="0027059D"/>
    <w:rsid w:val="00270984"/>
    <w:rsid w:val="00271CE3"/>
    <w:rsid w:val="002722D1"/>
    <w:rsid w:val="00272E4A"/>
    <w:rsid w:val="002744A3"/>
    <w:rsid w:val="0027450F"/>
    <w:rsid w:val="002750FB"/>
    <w:rsid w:val="00275DE1"/>
    <w:rsid w:val="002764D7"/>
    <w:rsid w:val="0027651E"/>
    <w:rsid w:val="002769B1"/>
    <w:rsid w:val="00277557"/>
    <w:rsid w:val="00280A7F"/>
    <w:rsid w:val="00280BC0"/>
    <w:rsid w:val="0028103F"/>
    <w:rsid w:val="00281CF8"/>
    <w:rsid w:val="002820E9"/>
    <w:rsid w:val="00282643"/>
    <w:rsid w:val="00282C93"/>
    <w:rsid w:val="00283E78"/>
    <w:rsid w:val="002841D1"/>
    <w:rsid w:val="00284BE6"/>
    <w:rsid w:val="00284D05"/>
    <w:rsid w:val="00285318"/>
    <w:rsid w:val="0028540F"/>
    <w:rsid w:val="00286826"/>
    <w:rsid w:val="00286DAB"/>
    <w:rsid w:val="00287253"/>
    <w:rsid w:val="00290298"/>
    <w:rsid w:val="00290D7E"/>
    <w:rsid w:val="00291194"/>
    <w:rsid w:val="002922D6"/>
    <w:rsid w:val="00293338"/>
    <w:rsid w:val="00293722"/>
    <w:rsid w:val="00293753"/>
    <w:rsid w:val="00293B14"/>
    <w:rsid w:val="00293D26"/>
    <w:rsid w:val="0029402A"/>
    <w:rsid w:val="00295C2D"/>
    <w:rsid w:val="002965F7"/>
    <w:rsid w:val="0029717B"/>
    <w:rsid w:val="00297224"/>
    <w:rsid w:val="002A0058"/>
    <w:rsid w:val="002A0184"/>
    <w:rsid w:val="002A06A4"/>
    <w:rsid w:val="002A19AD"/>
    <w:rsid w:val="002A240B"/>
    <w:rsid w:val="002A29D6"/>
    <w:rsid w:val="002A2A11"/>
    <w:rsid w:val="002A2D58"/>
    <w:rsid w:val="002A305B"/>
    <w:rsid w:val="002A3E85"/>
    <w:rsid w:val="002A4A25"/>
    <w:rsid w:val="002A4C1A"/>
    <w:rsid w:val="002A5788"/>
    <w:rsid w:val="002A5B05"/>
    <w:rsid w:val="002A6D27"/>
    <w:rsid w:val="002B015F"/>
    <w:rsid w:val="002B03B0"/>
    <w:rsid w:val="002B072D"/>
    <w:rsid w:val="002B1391"/>
    <w:rsid w:val="002B2D24"/>
    <w:rsid w:val="002B306F"/>
    <w:rsid w:val="002B35E9"/>
    <w:rsid w:val="002B453C"/>
    <w:rsid w:val="002B45E0"/>
    <w:rsid w:val="002B4D62"/>
    <w:rsid w:val="002B58C6"/>
    <w:rsid w:val="002B5EFE"/>
    <w:rsid w:val="002B7A49"/>
    <w:rsid w:val="002B7DED"/>
    <w:rsid w:val="002B7E46"/>
    <w:rsid w:val="002B7FA4"/>
    <w:rsid w:val="002C0554"/>
    <w:rsid w:val="002C0991"/>
    <w:rsid w:val="002C112C"/>
    <w:rsid w:val="002C20DE"/>
    <w:rsid w:val="002C273E"/>
    <w:rsid w:val="002C30EC"/>
    <w:rsid w:val="002C3760"/>
    <w:rsid w:val="002C456A"/>
    <w:rsid w:val="002C4E4A"/>
    <w:rsid w:val="002C4F70"/>
    <w:rsid w:val="002C4FB7"/>
    <w:rsid w:val="002C5170"/>
    <w:rsid w:val="002C5A35"/>
    <w:rsid w:val="002C6522"/>
    <w:rsid w:val="002C6EF4"/>
    <w:rsid w:val="002C715F"/>
    <w:rsid w:val="002C7558"/>
    <w:rsid w:val="002D056D"/>
    <w:rsid w:val="002D058D"/>
    <w:rsid w:val="002D1528"/>
    <w:rsid w:val="002D2D5A"/>
    <w:rsid w:val="002D42E3"/>
    <w:rsid w:val="002D4339"/>
    <w:rsid w:val="002D461F"/>
    <w:rsid w:val="002D5B51"/>
    <w:rsid w:val="002D6144"/>
    <w:rsid w:val="002D648B"/>
    <w:rsid w:val="002D693A"/>
    <w:rsid w:val="002D6C44"/>
    <w:rsid w:val="002D6EDB"/>
    <w:rsid w:val="002D706A"/>
    <w:rsid w:val="002D7700"/>
    <w:rsid w:val="002D79B9"/>
    <w:rsid w:val="002E023E"/>
    <w:rsid w:val="002E05CC"/>
    <w:rsid w:val="002E090E"/>
    <w:rsid w:val="002E0F0B"/>
    <w:rsid w:val="002E0F61"/>
    <w:rsid w:val="002E0FCB"/>
    <w:rsid w:val="002E0FCC"/>
    <w:rsid w:val="002E1659"/>
    <w:rsid w:val="002E1923"/>
    <w:rsid w:val="002E21BE"/>
    <w:rsid w:val="002E2B47"/>
    <w:rsid w:val="002E3749"/>
    <w:rsid w:val="002E46BE"/>
    <w:rsid w:val="002E49B0"/>
    <w:rsid w:val="002E4B68"/>
    <w:rsid w:val="002E546D"/>
    <w:rsid w:val="002E5BB2"/>
    <w:rsid w:val="002E5E8C"/>
    <w:rsid w:val="002E6263"/>
    <w:rsid w:val="002E660F"/>
    <w:rsid w:val="002E71F7"/>
    <w:rsid w:val="002E7671"/>
    <w:rsid w:val="002E7D76"/>
    <w:rsid w:val="002F039E"/>
    <w:rsid w:val="002F0A54"/>
    <w:rsid w:val="002F0E79"/>
    <w:rsid w:val="002F31E8"/>
    <w:rsid w:val="002F3928"/>
    <w:rsid w:val="002F3995"/>
    <w:rsid w:val="002F45E2"/>
    <w:rsid w:val="002F743C"/>
    <w:rsid w:val="002F7B29"/>
    <w:rsid w:val="0030085C"/>
    <w:rsid w:val="00300AF5"/>
    <w:rsid w:val="00301448"/>
    <w:rsid w:val="0030157A"/>
    <w:rsid w:val="00301EB2"/>
    <w:rsid w:val="00302396"/>
    <w:rsid w:val="00302936"/>
    <w:rsid w:val="00302B7A"/>
    <w:rsid w:val="00302D62"/>
    <w:rsid w:val="00303249"/>
    <w:rsid w:val="0030329B"/>
    <w:rsid w:val="003037B1"/>
    <w:rsid w:val="0030459C"/>
    <w:rsid w:val="00304924"/>
    <w:rsid w:val="00305394"/>
    <w:rsid w:val="00306E44"/>
    <w:rsid w:val="00306FC9"/>
    <w:rsid w:val="003102F1"/>
    <w:rsid w:val="0031071A"/>
    <w:rsid w:val="00310825"/>
    <w:rsid w:val="00310898"/>
    <w:rsid w:val="00310AA1"/>
    <w:rsid w:val="00310D5D"/>
    <w:rsid w:val="0031164D"/>
    <w:rsid w:val="00311F7A"/>
    <w:rsid w:val="00311FDD"/>
    <w:rsid w:val="003122DD"/>
    <w:rsid w:val="00312495"/>
    <w:rsid w:val="003124D0"/>
    <w:rsid w:val="00312B66"/>
    <w:rsid w:val="0031565F"/>
    <w:rsid w:val="003156AF"/>
    <w:rsid w:val="00315F59"/>
    <w:rsid w:val="003162A2"/>
    <w:rsid w:val="00316900"/>
    <w:rsid w:val="003169E0"/>
    <w:rsid w:val="00316E01"/>
    <w:rsid w:val="00316F5A"/>
    <w:rsid w:val="003178CA"/>
    <w:rsid w:val="00317978"/>
    <w:rsid w:val="00320397"/>
    <w:rsid w:val="00321660"/>
    <w:rsid w:val="0032173F"/>
    <w:rsid w:val="003218C9"/>
    <w:rsid w:val="00321A42"/>
    <w:rsid w:val="00322476"/>
    <w:rsid w:val="003229F8"/>
    <w:rsid w:val="003231E7"/>
    <w:rsid w:val="0032327D"/>
    <w:rsid w:val="00324379"/>
    <w:rsid w:val="0032487C"/>
    <w:rsid w:val="00324C90"/>
    <w:rsid w:val="00325463"/>
    <w:rsid w:val="003257B8"/>
    <w:rsid w:val="00325872"/>
    <w:rsid w:val="00325FD3"/>
    <w:rsid w:val="00325FEF"/>
    <w:rsid w:val="00327243"/>
    <w:rsid w:val="00330536"/>
    <w:rsid w:val="00330B83"/>
    <w:rsid w:val="00330D71"/>
    <w:rsid w:val="00332FF7"/>
    <w:rsid w:val="00333CF3"/>
    <w:rsid w:val="00334017"/>
    <w:rsid w:val="00334346"/>
    <w:rsid w:val="003345BA"/>
    <w:rsid w:val="003345E2"/>
    <w:rsid w:val="00334B4F"/>
    <w:rsid w:val="00335402"/>
    <w:rsid w:val="00335F2F"/>
    <w:rsid w:val="0033600F"/>
    <w:rsid w:val="00336755"/>
    <w:rsid w:val="00336C55"/>
    <w:rsid w:val="00337100"/>
    <w:rsid w:val="003376F2"/>
    <w:rsid w:val="00340755"/>
    <w:rsid w:val="00340827"/>
    <w:rsid w:val="00340B71"/>
    <w:rsid w:val="0034197B"/>
    <w:rsid w:val="00341B89"/>
    <w:rsid w:val="003426BB"/>
    <w:rsid w:val="00342C9C"/>
    <w:rsid w:val="003432AD"/>
    <w:rsid w:val="00343D04"/>
    <w:rsid w:val="00343D47"/>
    <w:rsid w:val="0034448F"/>
    <w:rsid w:val="00344A2F"/>
    <w:rsid w:val="003505FE"/>
    <w:rsid w:val="0035076C"/>
    <w:rsid w:val="00350C5D"/>
    <w:rsid w:val="00350EF9"/>
    <w:rsid w:val="0035110C"/>
    <w:rsid w:val="00351B46"/>
    <w:rsid w:val="00353829"/>
    <w:rsid w:val="00354236"/>
    <w:rsid w:val="003542E0"/>
    <w:rsid w:val="0035521C"/>
    <w:rsid w:val="00355B4A"/>
    <w:rsid w:val="0035662B"/>
    <w:rsid w:val="00357426"/>
    <w:rsid w:val="00357ED7"/>
    <w:rsid w:val="00360A21"/>
    <w:rsid w:val="00361200"/>
    <w:rsid w:val="003616C7"/>
    <w:rsid w:val="00361733"/>
    <w:rsid w:val="00362225"/>
    <w:rsid w:val="00362DF0"/>
    <w:rsid w:val="00363088"/>
    <w:rsid w:val="00363127"/>
    <w:rsid w:val="003636C6"/>
    <w:rsid w:val="00363A7B"/>
    <w:rsid w:val="00363D56"/>
    <w:rsid w:val="00363F2E"/>
    <w:rsid w:val="00364376"/>
    <w:rsid w:val="003646BE"/>
    <w:rsid w:val="003668B3"/>
    <w:rsid w:val="00366F8C"/>
    <w:rsid w:val="00367821"/>
    <w:rsid w:val="00367A11"/>
    <w:rsid w:val="0037090E"/>
    <w:rsid w:val="00370C2C"/>
    <w:rsid w:val="00370CF3"/>
    <w:rsid w:val="00371DE7"/>
    <w:rsid w:val="00371F12"/>
    <w:rsid w:val="00372CD0"/>
    <w:rsid w:val="00372FD2"/>
    <w:rsid w:val="00373394"/>
    <w:rsid w:val="00373532"/>
    <w:rsid w:val="00373DC2"/>
    <w:rsid w:val="003740CF"/>
    <w:rsid w:val="0037435B"/>
    <w:rsid w:val="003747A6"/>
    <w:rsid w:val="00375217"/>
    <w:rsid w:val="00375266"/>
    <w:rsid w:val="00375AC6"/>
    <w:rsid w:val="003763DE"/>
    <w:rsid w:val="003767BA"/>
    <w:rsid w:val="00376DA1"/>
    <w:rsid w:val="00376E00"/>
    <w:rsid w:val="00376ED6"/>
    <w:rsid w:val="00377127"/>
    <w:rsid w:val="00377170"/>
    <w:rsid w:val="00377264"/>
    <w:rsid w:val="0037757A"/>
    <w:rsid w:val="0037771D"/>
    <w:rsid w:val="003800EF"/>
    <w:rsid w:val="00380DAE"/>
    <w:rsid w:val="00380EB5"/>
    <w:rsid w:val="00382423"/>
    <w:rsid w:val="00382A36"/>
    <w:rsid w:val="00383DDD"/>
    <w:rsid w:val="00386C9C"/>
    <w:rsid w:val="00386D3F"/>
    <w:rsid w:val="003876B2"/>
    <w:rsid w:val="00387EB7"/>
    <w:rsid w:val="0039001C"/>
    <w:rsid w:val="003905CB"/>
    <w:rsid w:val="00390EE0"/>
    <w:rsid w:val="00391E93"/>
    <w:rsid w:val="003929AF"/>
    <w:rsid w:val="003930A1"/>
    <w:rsid w:val="003933A9"/>
    <w:rsid w:val="00393B92"/>
    <w:rsid w:val="00393F4A"/>
    <w:rsid w:val="00394B59"/>
    <w:rsid w:val="00394FA4"/>
    <w:rsid w:val="003951B5"/>
    <w:rsid w:val="003951C7"/>
    <w:rsid w:val="00395367"/>
    <w:rsid w:val="00395EA7"/>
    <w:rsid w:val="00395F7E"/>
    <w:rsid w:val="00395FFD"/>
    <w:rsid w:val="003963BB"/>
    <w:rsid w:val="0039656E"/>
    <w:rsid w:val="00396795"/>
    <w:rsid w:val="0039691B"/>
    <w:rsid w:val="003970DD"/>
    <w:rsid w:val="003974EB"/>
    <w:rsid w:val="0039794F"/>
    <w:rsid w:val="003A01F9"/>
    <w:rsid w:val="003A053E"/>
    <w:rsid w:val="003A0A90"/>
    <w:rsid w:val="003A0ADF"/>
    <w:rsid w:val="003A0BB3"/>
    <w:rsid w:val="003A136D"/>
    <w:rsid w:val="003A1EC7"/>
    <w:rsid w:val="003A283B"/>
    <w:rsid w:val="003A29F4"/>
    <w:rsid w:val="003A3554"/>
    <w:rsid w:val="003A46A5"/>
    <w:rsid w:val="003A48E3"/>
    <w:rsid w:val="003A56C0"/>
    <w:rsid w:val="003A6627"/>
    <w:rsid w:val="003A7033"/>
    <w:rsid w:val="003A7E14"/>
    <w:rsid w:val="003B004C"/>
    <w:rsid w:val="003B0492"/>
    <w:rsid w:val="003B04A8"/>
    <w:rsid w:val="003B054E"/>
    <w:rsid w:val="003B0741"/>
    <w:rsid w:val="003B0F12"/>
    <w:rsid w:val="003B17A0"/>
    <w:rsid w:val="003B1B6B"/>
    <w:rsid w:val="003B260A"/>
    <w:rsid w:val="003B289F"/>
    <w:rsid w:val="003B3D10"/>
    <w:rsid w:val="003B3F4F"/>
    <w:rsid w:val="003B4939"/>
    <w:rsid w:val="003B5380"/>
    <w:rsid w:val="003B55A0"/>
    <w:rsid w:val="003B5882"/>
    <w:rsid w:val="003B5A51"/>
    <w:rsid w:val="003B67CE"/>
    <w:rsid w:val="003B7198"/>
    <w:rsid w:val="003B764C"/>
    <w:rsid w:val="003B7E59"/>
    <w:rsid w:val="003C0023"/>
    <w:rsid w:val="003C0228"/>
    <w:rsid w:val="003C0593"/>
    <w:rsid w:val="003C1607"/>
    <w:rsid w:val="003C1E8C"/>
    <w:rsid w:val="003C2AE8"/>
    <w:rsid w:val="003C310A"/>
    <w:rsid w:val="003C345C"/>
    <w:rsid w:val="003C36EE"/>
    <w:rsid w:val="003C426A"/>
    <w:rsid w:val="003C428D"/>
    <w:rsid w:val="003C4AF1"/>
    <w:rsid w:val="003C4D86"/>
    <w:rsid w:val="003C67CB"/>
    <w:rsid w:val="003C70DB"/>
    <w:rsid w:val="003C774A"/>
    <w:rsid w:val="003C7CE6"/>
    <w:rsid w:val="003C7D2A"/>
    <w:rsid w:val="003C7DD8"/>
    <w:rsid w:val="003C7E5E"/>
    <w:rsid w:val="003D0D28"/>
    <w:rsid w:val="003D1AC3"/>
    <w:rsid w:val="003D1EB1"/>
    <w:rsid w:val="003D2606"/>
    <w:rsid w:val="003D27B8"/>
    <w:rsid w:val="003D28D4"/>
    <w:rsid w:val="003D2E4A"/>
    <w:rsid w:val="003D424E"/>
    <w:rsid w:val="003D4AE0"/>
    <w:rsid w:val="003D5477"/>
    <w:rsid w:val="003D5873"/>
    <w:rsid w:val="003D63C1"/>
    <w:rsid w:val="003D73B0"/>
    <w:rsid w:val="003D7925"/>
    <w:rsid w:val="003D7AB8"/>
    <w:rsid w:val="003E1077"/>
    <w:rsid w:val="003E29C6"/>
    <w:rsid w:val="003E524A"/>
    <w:rsid w:val="003E52EA"/>
    <w:rsid w:val="003E5618"/>
    <w:rsid w:val="003E5AA3"/>
    <w:rsid w:val="003E6231"/>
    <w:rsid w:val="003E6763"/>
    <w:rsid w:val="003E74D5"/>
    <w:rsid w:val="003F05B9"/>
    <w:rsid w:val="003F05CE"/>
    <w:rsid w:val="003F0A2C"/>
    <w:rsid w:val="003F0E96"/>
    <w:rsid w:val="003F123B"/>
    <w:rsid w:val="003F1F1D"/>
    <w:rsid w:val="003F2994"/>
    <w:rsid w:val="003F2AD6"/>
    <w:rsid w:val="003F3D86"/>
    <w:rsid w:val="003F465D"/>
    <w:rsid w:val="003F5D12"/>
    <w:rsid w:val="003F6737"/>
    <w:rsid w:val="003F6792"/>
    <w:rsid w:val="003F6C6D"/>
    <w:rsid w:val="003F732F"/>
    <w:rsid w:val="003F75FD"/>
    <w:rsid w:val="004003A1"/>
    <w:rsid w:val="00400A47"/>
    <w:rsid w:val="004013C8"/>
    <w:rsid w:val="00401BD9"/>
    <w:rsid w:val="004021D4"/>
    <w:rsid w:val="00402C07"/>
    <w:rsid w:val="00402C96"/>
    <w:rsid w:val="004032D6"/>
    <w:rsid w:val="00404114"/>
    <w:rsid w:val="004044D6"/>
    <w:rsid w:val="0040499B"/>
    <w:rsid w:val="00407299"/>
    <w:rsid w:val="00407BB9"/>
    <w:rsid w:val="004101D0"/>
    <w:rsid w:val="00410744"/>
    <w:rsid w:val="00411387"/>
    <w:rsid w:val="00411626"/>
    <w:rsid w:val="00411B8C"/>
    <w:rsid w:val="0041350D"/>
    <w:rsid w:val="004135D6"/>
    <w:rsid w:val="00413FF7"/>
    <w:rsid w:val="00414B6C"/>
    <w:rsid w:val="00415514"/>
    <w:rsid w:val="00416BF1"/>
    <w:rsid w:val="004175BF"/>
    <w:rsid w:val="004176FB"/>
    <w:rsid w:val="0041773B"/>
    <w:rsid w:val="00417B38"/>
    <w:rsid w:val="00417BE6"/>
    <w:rsid w:val="0042038F"/>
    <w:rsid w:val="00420C0B"/>
    <w:rsid w:val="00420E87"/>
    <w:rsid w:val="004215BE"/>
    <w:rsid w:val="00421830"/>
    <w:rsid w:val="00421C82"/>
    <w:rsid w:val="00421E0E"/>
    <w:rsid w:val="004220D6"/>
    <w:rsid w:val="004245ED"/>
    <w:rsid w:val="004258BC"/>
    <w:rsid w:val="00426D72"/>
    <w:rsid w:val="0042728D"/>
    <w:rsid w:val="00427CE7"/>
    <w:rsid w:val="00427DC3"/>
    <w:rsid w:val="00430D8B"/>
    <w:rsid w:val="004321B2"/>
    <w:rsid w:val="0043254D"/>
    <w:rsid w:val="0043298D"/>
    <w:rsid w:val="00433DC0"/>
    <w:rsid w:val="00433E0E"/>
    <w:rsid w:val="00434F78"/>
    <w:rsid w:val="00434FC1"/>
    <w:rsid w:val="004373A4"/>
    <w:rsid w:val="00437680"/>
    <w:rsid w:val="00440881"/>
    <w:rsid w:val="00440984"/>
    <w:rsid w:val="00440D35"/>
    <w:rsid w:val="00441706"/>
    <w:rsid w:val="00441943"/>
    <w:rsid w:val="00442A7E"/>
    <w:rsid w:val="00442BA9"/>
    <w:rsid w:val="00442D0D"/>
    <w:rsid w:val="004431AB"/>
    <w:rsid w:val="00443CA5"/>
    <w:rsid w:val="00443CEA"/>
    <w:rsid w:val="00444640"/>
    <w:rsid w:val="00444C8F"/>
    <w:rsid w:val="00445320"/>
    <w:rsid w:val="00445411"/>
    <w:rsid w:val="00446240"/>
    <w:rsid w:val="0044699F"/>
    <w:rsid w:val="00446E51"/>
    <w:rsid w:val="00447591"/>
    <w:rsid w:val="004500C6"/>
    <w:rsid w:val="00450D27"/>
    <w:rsid w:val="0045122A"/>
    <w:rsid w:val="00452390"/>
    <w:rsid w:val="004536BF"/>
    <w:rsid w:val="00453A70"/>
    <w:rsid w:val="004546D9"/>
    <w:rsid w:val="00454FC0"/>
    <w:rsid w:val="0045534E"/>
    <w:rsid w:val="00455AD8"/>
    <w:rsid w:val="00456934"/>
    <w:rsid w:val="004572F2"/>
    <w:rsid w:val="0045748A"/>
    <w:rsid w:val="00460F45"/>
    <w:rsid w:val="00461D48"/>
    <w:rsid w:val="00461EA0"/>
    <w:rsid w:val="0046201F"/>
    <w:rsid w:val="00462A44"/>
    <w:rsid w:val="00462FA4"/>
    <w:rsid w:val="004643E6"/>
    <w:rsid w:val="004653D5"/>
    <w:rsid w:val="00465DC4"/>
    <w:rsid w:val="00466E52"/>
    <w:rsid w:val="0046791F"/>
    <w:rsid w:val="0046793A"/>
    <w:rsid w:val="00467C02"/>
    <w:rsid w:val="00470660"/>
    <w:rsid w:val="00470EDD"/>
    <w:rsid w:val="00471DAE"/>
    <w:rsid w:val="00471E65"/>
    <w:rsid w:val="00471EA4"/>
    <w:rsid w:val="00472C93"/>
    <w:rsid w:val="00474189"/>
    <w:rsid w:val="004741CA"/>
    <w:rsid w:val="0047445E"/>
    <w:rsid w:val="004747C1"/>
    <w:rsid w:val="00474A95"/>
    <w:rsid w:val="00474E02"/>
    <w:rsid w:val="00474FF5"/>
    <w:rsid w:val="00475272"/>
    <w:rsid w:val="00475888"/>
    <w:rsid w:val="00476FBC"/>
    <w:rsid w:val="00477136"/>
    <w:rsid w:val="00477FE5"/>
    <w:rsid w:val="00480266"/>
    <w:rsid w:val="004804D0"/>
    <w:rsid w:val="00480C32"/>
    <w:rsid w:val="00480F2B"/>
    <w:rsid w:val="00481760"/>
    <w:rsid w:val="004818E3"/>
    <w:rsid w:val="00481C64"/>
    <w:rsid w:val="0048205B"/>
    <w:rsid w:val="004821CD"/>
    <w:rsid w:val="004824C4"/>
    <w:rsid w:val="00482902"/>
    <w:rsid w:val="00482A9E"/>
    <w:rsid w:val="00484B2E"/>
    <w:rsid w:val="00484E45"/>
    <w:rsid w:val="0048668B"/>
    <w:rsid w:val="00486BD1"/>
    <w:rsid w:val="00487855"/>
    <w:rsid w:val="00487BE6"/>
    <w:rsid w:val="00487E90"/>
    <w:rsid w:val="00490698"/>
    <w:rsid w:val="00492592"/>
    <w:rsid w:val="00492E1A"/>
    <w:rsid w:val="00493A8A"/>
    <w:rsid w:val="00493D74"/>
    <w:rsid w:val="00493F5C"/>
    <w:rsid w:val="004944D6"/>
    <w:rsid w:val="00494A50"/>
    <w:rsid w:val="00495B44"/>
    <w:rsid w:val="0049616E"/>
    <w:rsid w:val="00496519"/>
    <w:rsid w:val="00496E94"/>
    <w:rsid w:val="004975E2"/>
    <w:rsid w:val="004976D2"/>
    <w:rsid w:val="004A0349"/>
    <w:rsid w:val="004A0F83"/>
    <w:rsid w:val="004A293F"/>
    <w:rsid w:val="004A2CD3"/>
    <w:rsid w:val="004A388D"/>
    <w:rsid w:val="004A38BA"/>
    <w:rsid w:val="004A3B9B"/>
    <w:rsid w:val="004A444E"/>
    <w:rsid w:val="004A48A1"/>
    <w:rsid w:val="004A5C62"/>
    <w:rsid w:val="004A6E4B"/>
    <w:rsid w:val="004A7134"/>
    <w:rsid w:val="004A7CB6"/>
    <w:rsid w:val="004A7CC0"/>
    <w:rsid w:val="004B0008"/>
    <w:rsid w:val="004B009E"/>
    <w:rsid w:val="004B03A1"/>
    <w:rsid w:val="004B1415"/>
    <w:rsid w:val="004B17E5"/>
    <w:rsid w:val="004B1F0D"/>
    <w:rsid w:val="004B21F4"/>
    <w:rsid w:val="004B2879"/>
    <w:rsid w:val="004B38A7"/>
    <w:rsid w:val="004B3A7D"/>
    <w:rsid w:val="004B4BD3"/>
    <w:rsid w:val="004B4CC2"/>
    <w:rsid w:val="004B6464"/>
    <w:rsid w:val="004B662E"/>
    <w:rsid w:val="004B7F0D"/>
    <w:rsid w:val="004C0AEC"/>
    <w:rsid w:val="004C0E29"/>
    <w:rsid w:val="004C0EF2"/>
    <w:rsid w:val="004C0F12"/>
    <w:rsid w:val="004C1445"/>
    <w:rsid w:val="004C1DC6"/>
    <w:rsid w:val="004C2592"/>
    <w:rsid w:val="004C26D7"/>
    <w:rsid w:val="004C284D"/>
    <w:rsid w:val="004C28FF"/>
    <w:rsid w:val="004C3B31"/>
    <w:rsid w:val="004C47C8"/>
    <w:rsid w:val="004C53BF"/>
    <w:rsid w:val="004C5BB0"/>
    <w:rsid w:val="004C5CAB"/>
    <w:rsid w:val="004C63F3"/>
    <w:rsid w:val="004C6A09"/>
    <w:rsid w:val="004C7462"/>
    <w:rsid w:val="004D0107"/>
    <w:rsid w:val="004D1147"/>
    <w:rsid w:val="004D1A8B"/>
    <w:rsid w:val="004D1C3F"/>
    <w:rsid w:val="004D3BF0"/>
    <w:rsid w:val="004D4B8F"/>
    <w:rsid w:val="004D4E7A"/>
    <w:rsid w:val="004D4EF8"/>
    <w:rsid w:val="004D5947"/>
    <w:rsid w:val="004D5DCE"/>
    <w:rsid w:val="004D67DC"/>
    <w:rsid w:val="004D6D8C"/>
    <w:rsid w:val="004D757C"/>
    <w:rsid w:val="004E0F38"/>
    <w:rsid w:val="004E1157"/>
    <w:rsid w:val="004E1888"/>
    <w:rsid w:val="004E1AF6"/>
    <w:rsid w:val="004E30A8"/>
    <w:rsid w:val="004E3339"/>
    <w:rsid w:val="004E4913"/>
    <w:rsid w:val="004E54AA"/>
    <w:rsid w:val="004E5EAA"/>
    <w:rsid w:val="004E669D"/>
    <w:rsid w:val="004E6C04"/>
    <w:rsid w:val="004E743B"/>
    <w:rsid w:val="004E7855"/>
    <w:rsid w:val="004E7B92"/>
    <w:rsid w:val="004F033A"/>
    <w:rsid w:val="004F166A"/>
    <w:rsid w:val="004F1B89"/>
    <w:rsid w:val="004F1D8F"/>
    <w:rsid w:val="004F1FEC"/>
    <w:rsid w:val="004F21D8"/>
    <w:rsid w:val="004F3332"/>
    <w:rsid w:val="004F3A5E"/>
    <w:rsid w:val="004F4B0D"/>
    <w:rsid w:val="004F4D4F"/>
    <w:rsid w:val="004F4FEB"/>
    <w:rsid w:val="004F5396"/>
    <w:rsid w:val="004F53D4"/>
    <w:rsid w:val="004F71E6"/>
    <w:rsid w:val="004F7D4F"/>
    <w:rsid w:val="005003BB"/>
    <w:rsid w:val="0050092D"/>
    <w:rsid w:val="0050180E"/>
    <w:rsid w:val="00501E0F"/>
    <w:rsid w:val="00501E89"/>
    <w:rsid w:val="00503880"/>
    <w:rsid w:val="00503AD4"/>
    <w:rsid w:val="00505334"/>
    <w:rsid w:val="00505798"/>
    <w:rsid w:val="00506B6F"/>
    <w:rsid w:val="00506C61"/>
    <w:rsid w:val="00510FA1"/>
    <w:rsid w:val="00511BFE"/>
    <w:rsid w:val="0051319F"/>
    <w:rsid w:val="0051370A"/>
    <w:rsid w:val="00513C2A"/>
    <w:rsid w:val="0051433E"/>
    <w:rsid w:val="00515121"/>
    <w:rsid w:val="00515157"/>
    <w:rsid w:val="005158F1"/>
    <w:rsid w:val="00516C72"/>
    <w:rsid w:val="00516D79"/>
    <w:rsid w:val="005173EA"/>
    <w:rsid w:val="00517537"/>
    <w:rsid w:val="005175B3"/>
    <w:rsid w:val="00517715"/>
    <w:rsid w:val="00517A27"/>
    <w:rsid w:val="00520451"/>
    <w:rsid w:val="005204EE"/>
    <w:rsid w:val="00520C93"/>
    <w:rsid w:val="0052186C"/>
    <w:rsid w:val="00521D5B"/>
    <w:rsid w:val="00521F86"/>
    <w:rsid w:val="00522C24"/>
    <w:rsid w:val="005230EA"/>
    <w:rsid w:val="005235DB"/>
    <w:rsid w:val="005238D9"/>
    <w:rsid w:val="00524213"/>
    <w:rsid w:val="005245B9"/>
    <w:rsid w:val="0052472D"/>
    <w:rsid w:val="00525750"/>
    <w:rsid w:val="00526909"/>
    <w:rsid w:val="00527269"/>
    <w:rsid w:val="00527734"/>
    <w:rsid w:val="005306C8"/>
    <w:rsid w:val="00530819"/>
    <w:rsid w:val="00530856"/>
    <w:rsid w:val="00531128"/>
    <w:rsid w:val="00531BE6"/>
    <w:rsid w:val="00532DB5"/>
    <w:rsid w:val="00532E42"/>
    <w:rsid w:val="0053360C"/>
    <w:rsid w:val="00533CCF"/>
    <w:rsid w:val="00534950"/>
    <w:rsid w:val="005353B2"/>
    <w:rsid w:val="00535A03"/>
    <w:rsid w:val="00535BEF"/>
    <w:rsid w:val="00535C5D"/>
    <w:rsid w:val="00536D38"/>
    <w:rsid w:val="00537437"/>
    <w:rsid w:val="005401A8"/>
    <w:rsid w:val="005403EB"/>
    <w:rsid w:val="00541BB0"/>
    <w:rsid w:val="0054283A"/>
    <w:rsid w:val="00543C45"/>
    <w:rsid w:val="00543CAA"/>
    <w:rsid w:val="005452D8"/>
    <w:rsid w:val="00545C6A"/>
    <w:rsid w:val="00546B03"/>
    <w:rsid w:val="00546C77"/>
    <w:rsid w:val="00546F9A"/>
    <w:rsid w:val="00547C3E"/>
    <w:rsid w:val="00547E81"/>
    <w:rsid w:val="00547F5D"/>
    <w:rsid w:val="0055030B"/>
    <w:rsid w:val="00550A5B"/>
    <w:rsid w:val="00552253"/>
    <w:rsid w:val="00552655"/>
    <w:rsid w:val="00553841"/>
    <w:rsid w:val="0055418E"/>
    <w:rsid w:val="00554722"/>
    <w:rsid w:val="00555482"/>
    <w:rsid w:val="005565CC"/>
    <w:rsid w:val="00556EAA"/>
    <w:rsid w:val="005572D5"/>
    <w:rsid w:val="005603C0"/>
    <w:rsid w:val="0056044E"/>
    <w:rsid w:val="00561336"/>
    <w:rsid w:val="00561A24"/>
    <w:rsid w:val="00562016"/>
    <w:rsid w:val="00562E9A"/>
    <w:rsid w:val="005633C9"/>
    <w:rsid w:val="00563CB4"/>
    <w:rsid w:val="0056447C"/>
    <w:rsid w:val="0056448B"/>
    <w:rsid w:val="005644B2"/>
    <w:rsid w:val="00564A96"/>
    <w:rsid w:val="00564C7A"/>
    <w:rsid w:val="00565246"/>
    <w:rsid w:val="00565E4A"/>
    <w:rsid w:val="005660EC"/>
    <w:rsid w:val="00566422"/>
    <w:rsid w:val="0057003D"/>
    <w:rsid w:val="00570108"/>
    <w:rsid w:val="00570D81"/>
    <w:rsid w:val="005710E1"/>
    <w:rsid w:val="00571283"/>
    <w:rsid w:val="00571661"/>
    <w:rsid w:val="00571A25"/>
    <w:rsid w:val="00571FF1"/>
    <w:rsid w:val="00572AE3"/>
    <w:rsid w:val="005733DF"/>
    <w:rsid w:val="00575AEA"/>
    <w:rsid w:val="00575C19"/>
    <w:rsid w:val="00580819"/>
    <w:rsid w:val="00580886"/>
    <w:rsid w:val="00580EB8"/>
    <w:rsid w:val="00580FDF"/>
    <w:rsid w:val="005817BD"/>
    <w:rsid w:val="00581A4B"/>
    <w:rsid w:val="00581EA1"/>
    <w:rsid w:val="00582508"/>
    <w:rsid w:val="005827BD"/>
    <w:rsid w:val="005841E0"/>
    <w:rsid w:val="0058434A"/>
    <w:rsid w:val="00584CD3"/>
    <w:rsid w:val="00584EB4"/>
    <w:rsid w:val="00586164"/>
    <w:rsid w:val="005874BB"/>
    <w:rsid w:val="005877A4"/>
    <w:rsid w:val="0059040A"/>
    <w:rsid w:val="00590A43"/>
    <w:rsid w:val="00590D0C"/>
    <w:rsid w:val="0059123D"/>
    <w:rsid w:val="005915B0"/>
    <w:rsid w:val="005916BB"/>
    <w:rsid w:val="00591898"/>
    <w:rsid w:val="00591F84"/>
    <w:rsid w:val="005920E7"/>
    <w:rsid w:val="005926D6"/>
    <w:rsid w:val="00592820"/>
    <w:rsid w:val="0059287D"/>
    <w:rsid w:val="00593E2A"/>
    <w:rsid w:val="00593FD3"/>
    <w:rsid w:val="00595B39"/>
    <w:rsid w:val="00597436"/>
    <w:rsid w:val="00597DD7"/>
    <w:rsid w:val="00597E58"/>
    <w:rsid w:val="005A0247"/>
    <w:rsid w:val="005A15BE"/>
    <w:rsid w:val="005A1C5F"/>
    <w:rsid w:val="005A1F44"/>
    <w:rsid w:val="005A511C"/>
    <w:rsid w:val="005A5488"/>
    <w:rsid w:val="005A57A0"/>
    <w:rsid w:val="005A6319"/>
    <w:rsid w:val="005B0BF7"/>
    <w:rsid w:val="005B0D56"/>
    <w:rsid w:val="005B127C"/>
    <w:rsid w:val="005B13F1"/>
    <w:rsid w:val="005B167C"/>
    <w:rsid w:val="005B1864"/>
    <w:rsid w:val="005B222D"/>
    <w:rsid w:val="005B2280"/>
    <w:rsid w:val="005B239C"/>
    <w:rsid w:val="005B25D2"/>
    <w:rsid w:val="005B2724"/>
    <w:rsid w:val="005B27B5"/>
    <w:rsid w:val="005B2CA9"/>
    <w:rsid w:val="005B2EA6"/>
    <w:rsid w:val="005B3595"/>
    <w:rsid w:val="005B35FD"/>
    <w:rsid w:val="005B36BF"/>
    <w:rsid w:val="005B4371"/>
    <w:rsid w:val="005B52E0"/>
    <w:rsid w:val="005B56F4"/>
    <w:rsid w:val="005B5920"/>
    <w:rsid w:val="005B5E89"/>
    <w:rsid w:val="005B6B2B"/>
    <w:rsid w:val="005B6F98"/>
    <w:rsid w:val="005B711E"/>
    <w:rsid w:val="005B716D"/>
    <w:rsid w:val="005B7A53"/>
    <w:rsid w:val="005B7CEE"/>
    <w:rsid w:val="005C19FF"/>
    <w:rsid w:val="005C2267"/>
    <w:rsid w:val="005C23CD"/>
    <w:rsid w:val="005C258A"/>
    <w:rsid w:val="005C3003"/>
    <w:rsid w:val="005C30D7"/>
    <w:rsid w:val="005C325B"/>
    <w:rsid w:val="005C3A8C"/>
    <w:rsid w:val="005C3F5E"/>
    <w:rsid w:val="005C4930"/>
    <w:rsid w:val="005C527D"/>
    <w:rsid w:val="005C57E7"/>
    <w:rsid w:val="005C6664"/>
    <w:rsid w:val="005C67E8"/>
    <w:rsid w:val="005C6E17"/>
    <w:rsid w:val="005C74B0"/>
    <w:rsid w:val="005C763B"/>
    <w:rsid w:val="005C79EE"/>
    <w:rsid w:val="005C7DF8"/>
    <w:rsid w:val="005C7F88"/>
    <w:rsid w:val="005D06D2"/>
    <w:rsid w:val="005D0D38"/>
    <w:rsid w:val="005D11B2"/>
    <w:rsid w:val="005D13EF"/>
    <w:rsid w:val="005D3947"/>
    <w:rsid w:val="005D3C6E"/>
    <w:rsid w:val="005D494F"/>
    <w:rsid w:val="005D53A0"/>
    <w:rsid w:val="005D5621"/>
    <w:rsid w:val="005D5A9E"/>
    <w:rsid w:val="005E1644"/>
    <w:rsid w:val="005E1A60"/>
    <w:rsid w:val="005E3158"/>
    <w:rsid w:val="005E35EE"/>
    <w:rsid w:val="005E3A8C"/>
    <w:rsid w:val="005E4F25"/>
    <w:rsid w:val="005E5F6A"/>
    <w:rsid w:val="005E6A4A"/>
    <w:rsid w:val="005E77F6"/>
    <w:rsid w:val="005E7D9C"/>
    <w:rsid w:val="005E7F29"/>
    <w:rsid w:val="005F0F52"/>
    <w:rsid w:val="005F1156"/>
    <w:rsid w:val="005F1282"/>
    <w:rsid w:val="005F19C6"/>
    <w:rsid w:val="005F1BB9"/>
    <w:rsid w:val="005F2050"/>
    <w:rsid w:val="005F27B0"/>
    <w:rsid w:val="005F2B47"/>
    <w:rsid w:val="005F378C"/>
    <w:rsid w:val="005F5D96"/>
    <w:rsid w:val="005F62B5"/>
    <w:rsid w:val="005F7547"/>
    <w:rsid w:val="005F782F"/>
    <w:rsid w:val="006004AF"/>
    <w:rsid w:val="006005FD"/>
    <w:rsid w:val="00600944"/>
    <w:rsid w:val="00600F0A"/>
    <w:rsid w:val="006015F2"/>
    <w:rsid w:val="00601E43"/>
    <w:rsid w:val="00603D9D"/>
    <w:rsid w:val="00604A4F"/>
    <w:rsid w:val="00604F0C"/>
    <w:rsid w:val="00605019"/>
    <w:rsid w:val="006051BB"/>
    <w:rsid w:val="00605258"/>
    <w:rsid w:val="006054B2"/>
    <w:rsid w:val="00605503"/>
    <w:rsid w:val="00605C04"/>
    <w:rsid w:val="00606DE7"/>
    <w:rsid w:val="006070EB"/>
    <w:rsid w:val="0060715F"/>
    <w:rsid w:val="00607376"/>
    <w:rsid w:val="006078AF"/>
    <w:rsid w:val="00610134"/>
    <w:rsid w:val="006104A3"/>
    <w:rsid w:val="00610B83"/>
    <w:rsid w:val="00610C05"/>
    <w:rsid w:val="006111D8"/>
    <w:rsid w:val="00611291"/>
    <w:rsid w:val="0061159A"/>
    <w:rsid w:val="00611E37"/>
    <w:rsid w:val="006123DE"/>
    <w:rsid w:val="0061282E"/>
    <w:rsid w:val="00613029"/>
    <w:rsid w:val="00613408"/>
    <w:rsid w:val="00613571"/>
    <w:rsid w:val="00614981"/>
    <w:rsid w:val="00614B63"/>
    <w:rsid w:val="006152CC"/>
    <w:rsid w:val="0061536F"/>
    <w:rsid w:val="0061554D"/>
    <w:rsid w:val="0061556C"/>
    <w:rsid w:val="00615ED2"/>
    <w:rsid w:val="006167BA"/>
    <w:rsid w:val="00616AAA"/>
    <w:rsid w:val="00616C41"/>
    <w:rsid w:val="00616C85"/>
    <w:rsid w:val="0061716F"/>
    <w:rsid w:val="00617309"/>
    <w:rsid w:val="00617930"/>
    <w:rsid w:val="00620048"/>
    <w:rsid w:val="00620736"/>
    <w:rsid w:val="00620B51"/>
    <w:rsid w:val="00620BB0"/>
    <w:rsid w:val="00621221"/>
    <w:rsid w:val="00621605"/>
    <w:rsid w:val="006231FC"/>
    <w:rsid w:val="006248F8"/>
    <w:rsid w:val="006249D9"/>
    <w:rsid w:val="006257BE"/>
    <w:rsid w:val="00625D95"/>
    <w:rsid w:val="00627459"/>
    <w:rsid w:val="006275B2"/>
    <w:rsid w:val="00627BE3"/>
    <w:rsid w:val="0063004F"/>
    <w:rsid w:val="0063020D"/>
    <w:rsid w:val="0063070A"/>
    <w:rsid w:val="00630A3B"/>
    <w:rsid w:val="00630D35"/>
    <w:rsid w:val="00631794"/>
    <w:rsid w:val="00631C6D"/>
    <w:rsid w:val="00632F5E"/>
    <w:rsid w:val="006330BC"/>
    <w:rsid w:val="00633EE6"/>
    <w:rsid w:val="006342D9"/>
    <w:rsid w:val="00634638"/>
    <w:rsid w:val="006346F1"/>
    <w:rsid w:val="00634736"/>
    <w:rsid w:val="00636143"/>
    <w:rsid w:val="00636BBA"/>
    <w:rsid w:val="00636CF6"/>
    <w:rsid w:val="006370C5"/>
    <w:rsid w:val="00637253"/>
    <w:rsid w:val="0063725E"/>
    <w:rsid w:val="006403A5"/>
    <w:rsid w:val="00641E0D"/>
    <w:rsid w:val="00641EA2"/>
    <w:rsid w:val="00642CD6"/>
    <w:rsid w:val="00643607"/>
    <w:rsid w:val="00643AF4"/>
    <w:rsid w:val="00643E13"/>
    <w:rsid w:val="0064437F"/>
    <w:rsid w:val="00645B17"/>
    <w:rsid w:val="00645CC5"/>
    <w:rsid w:val="00645FC3"/>
    <w:rsid w:val="0064723D"/>
    <w:rsid w:val="0064759A"/>
    <w:rsid w:val="006478F6"/>
    <w:rsid w:val="00650267"/>
    <w:rsid w:val="00650567"/>
    <w:rsid w:val="00650957"/>
    <w:rsid w:val="00650A5B"/>
    <w:rsid w:val="0065122D"/>
    <w:rsid w:val="0065133F"/>
    <w:rsid w:val="0065139A"/>
    <w:rsid w:val="006514FA"/>
    <w:rsid w:val="00651EF0"/>
    <w:rsid w:val="00651F01"/>
    <w:rsid w:val="00652E30"/>
    <w:rsid w:val="00652F49"/>
    <w:rsid w:val="0065377B"/>
    <w:rsid w:val="0065385E"/>
    <w:rsid w:val="00653860"/>
    <w:rsid w:val="006538E5"/>
    <w:rsid w:val="0065449E"/>
    <w:rsid w:val="006555D2"/>
    <w:rsid w:val="00655AE5"/>
    <w:rsid w:val="00656728"/>
    <w:rsid w:val="00656D77"/>
    <w:rsid w:val="00656EE7"/>
    <w:rsid w:val="00660030"/>
    <w:rsid w:val="0066042C"/>
    <w:rsid w:val="0066174F"/>
    <w:rsid w:val="00661C07"/>
    <w:rsid w:val="006623F9"/>
    <w:rsid w:val="006628D1"/>
    <w:rsid w:val="00665C23"/>
    <w:rsid w:val="00665C50"/>
    <w:rsid w:val="00665F11"/>
    <w:rsid w:val="00666499"/>
    <w:rsid w:val="00667086"/>
    <w:rsid w:val="00667578"/>
    <w:rsid w:val="00667AFC"/>
    <w:rsid w:val="00667E78"/>
    <w:rsid w:val="006707AD"/>
    <w:rsid w:val="00671E56"/>
    <w:rsid w:val="006739DC"/>
    <w:rsid w:val="0067471F"/>
    <w:rsid w:val="00674C17"/>
    <w:rsid w:val="00674CC7"/>
    <w:rsid w:val="006751E1"/>
    <w:rsid w:val="00675496"/>
    <w:rsid w:val="00676B4D"/>
    <w:rsid w:val="0068021E"/>
    <w:rsid w:val="006814CD"/>
    <w:rsid w:val="00683159"/>
    <w:rsid w:val="00683783"/>
    <w:rsid w:val="0068520A"/>
    <w:rsid w:val="00686D1E"/>
    <w:rsid w:val="006876BE"/>
    <w:rsid w:val="0068783F"/>
    <w:rsid w:val="00687A29"/>
    <w:rsid w:val="006908D0"/>
    <w:rsid w:val="00690BB7"/>
    <w:rsid w:val="006910F6"/>
    <w:rsid w:val="006915FE"/>
    <w:rsid w:val="006917DC"/>
    <w:rsid w:val="006926AC"/>
    <w:rsid w:val="006927CC"/>
    <w:rsid w:val="00692DE3"/>
    <w:rsid w:val="006938B2"/>
    <w:rsid w:val="00694482"/>
    <w:rsid w:val="00695381"/>
    <w:rsid w:val="00695534"/>
    <w:rsid w:val="00695D0A"/>
    <w:rsid w:val="006961D7"/>
    <w:rsid w:val="00696855"/>
    <w:rsid w:val="00696D3B"/>
    <w:rsid w:val="006970A9"/>
    <w:rsid w:val="006977D7"/>
    <w:rsid w:val="006978AB"/>
    <w:rsid w:val="006A027F"/>
    <w:rsid w:val="006A06DE"/>
    <w:rsid w:val="006A1730"/>
    <w:rsid w:val="006A195A"/>
    <w:rsid w:val="006A2455"/>
    <w:rsid w:val="006A259B"/>
    <w:rsid w:val="006A2C03"/>
    <w:rsid w:val="006A3EC3"/>
    <w:rsid w:val="006A4BF3"/>
    <w:rsid w:val="006A4E6E"/>
    <w:rsid w:val="006A5DD3"/>
    <w:rsid w:val="006A6ACB"/>
    <w:rsid w:val="006A7CF7"/>
    <w:rsid w:val="006B0C15"/>
    <w:rsid w:val="006B11FA"/>
    <w:rsid w:val="006B1EFA"/>
    <w:rsid w:val="006B28D8"/>
    <w:rsid w:val="006B34A3"/>
    <w:rsid w:val="006B36A9"/>
    <w:rsid w:val="006B4164"/>
    <w:rsid w:val="006B424D"/>
    <w:rsid w:val="006B4471"/>
    <w:rsid w:val="006B44D5"/>
    <w:rsid w:val="006B5015"/>
    <w:rsid w:val="006B5269"/>
    <w:rsid w:val="006B5D6D"/>
    <w:rsid w:val="006B61C3"/>
    <w:rsid w:val="006B793C"/>
    <w:rsid w:val="006B7C59"/>
    <w:rsid w:val="006B7D29"/>
    <w:rsid w:val="006B7DAF"/>
    <w:rsid w:val="006B7EDD"/>
    <w:rsid w:val="006C0D26"/>
    <w:rsid w:val="006C1B10"/>
    <w:rsid w:val="006C2112"/>
    <w:rsid w:val="006C2208"/>
    <w:rsid w:val="006C27BD"/>
    <w:rsid w:val="006C2B6D"/>
    <w:rsid w:val="006C4714"/>
    <w:rsid w:val="006C548E"/>
    <w:rsid w:val="006C5BBB"/>
    <w:rsid w:val="006C6C7A"/>
    <w:rsid w:val="006C7437"/>
    <w:rsid w:val="006C7913"/>
    <w:rsid w:val="006C7A6D"/>
    <w:rsid w:val="006D023A"/>
    <w:rsid w:val="006D0BA8"/>
    <w:rsid w:val="006D0C74"/>
    <w:rsid w:val="006D12DF"/>
    <w:rsid w:val="006D1877"/>
    <w:rsid w:val="006D1931"/>
    <w:rsid w:val="006D1B0B"/>
    <w:rsid w:val="006D22FA"/>
    <w:rsid w:val="006D263E"/>
    <w:rsid w:val="006D28F4"/>
    <w:rsid w:val="006D3977"/>
    <w:rsid w:val="006D3A21"/>
    <w:rsid w:val="006D4100"/>
    <w:rsid w:val="006D446E"/>
    <w:rsid w:val="006D5521"/>
    <w:rsid w:val="006D5589"/>
    <w:rsid w:val="006D57B2"/>
    <w:rsid w:val="006D5A2B"/>
    <w:rsid w:val="006D5ED3"/>
    <w:rsid w:val="006D5EF8"/>
    <w:rsid w:val="006D615E"/>
    <w:rsid w:val="006D769C"/>
    <w:rsid w:val="006D7BDA"/>
    <w:rsid w:val="006E0377"/>
    <w:rsid w:val="006E0896"/>
    <w:rsid w:val="006E098F"/>
    <w:rsid w:val="006E09D0"/>
    <w:rsid w:val="006E0F54"/>
    <w:rsid w:val="006E1058"/>
    <w:rsid w:val="006E27A3"/>
    <w:rsid w:val="006E282C"/>
    <w:rsid w:val="006E44C4"/>
    <w:rsid w:val="006E5931"/>
    <w:rsid w:val="006E5EB0"/>
    <w:rsid w:val="006E7177"/>
    <w:rsid w:val="006E7210"/>
    <w:rsid w:val="006E7FC6"/>
    <w:rsid w:val="006F0240"/>
    <w:rsid w:val="006F0D53"/>
    <w:rsid w:val="006F0FEC"/>
    <w:rsid w:val="006F2A6C"/>
    <w:rsid w:val="006F2D38"/>
    <w:rsid w:val="006F336E"/>
    <w:rsid w:val="006F378F"/>
    <w:rsid w:val="006F4418"/>
    <w:rsid w:val="006F5866"/>
    <w:rsid w:val="006F5907"/>
    <w:rsid w:val="006F6641"/>
    <w:rsid w:val="006F7671"/>
    <w:rsid w:val="006F772B"/>
    <w:rsid w:val="006F7F17"/>
    <w:rsid w:val="00700982"/>
    <w:rsid w:val="007027AF"/>
    <w:rsid w:val="00702973"/>
    <w:rsid w:val="00703B2D"/>
    <w:rsid w:val="00703C2F"/>
    <w:rsid w:val="00703D47"/>
    <w:rsid w:val="00704026"/>
    <w:rsid w:val="007044F4"/>
    <w:rsid w:val="007048B1"/>
    <w:rsid w:val="007069BD"/>
    <w:rsid w:val="0070722C"/>
    <w:rsid w:val="00707D8F"/>
    <w:rsid w:val="007106F5"/>
    <w:rsid w:val="007109D7"/>
    <w:rsid w:val="007112BF"/>
    <w:rsid w:val="00712238"/>
    <w:rsid w:val="00713036"/>
    <w:rsid w:val="0071331D"/>
    <w:rsid w:val="00713B19"/>
    <w:rsid w:val="00713BD9"/>
    <w:rsid w:val="007143E4"/>
    <w:rsid w:val="0071485E"/>
    <w:rsid w:val="007148A9"/>
    <w:rsid w:val="00714D63"/>
    <w:rsid w:val="007154C4"/>
    <w:rsid w:val="0071562E"/>
    <w:rsid w:val="00720130"/>
    <w:rsid w:val="007201A2"/>
    <w:rsid w:val="007203B3"/>
    <w:rsid w:val="00720403"/>
    <w:rsid w:val="007205CA"/>
    <w:rsid w:val="00720A46"/>
    <w:rsid w:val="00720DD1"/>
    <w:rsid w:val="00721349"/>
    <w:rsid w:val="007216C0"/>
    <w:rsid w:val="00721E11"/>
    <w:rsid w:val="00721F96"/>
    <w:rsid w:val="00722AC0"/>
    <w:rsid w:val="00722FBB"/>
    <w:rsid w:val="0072470D"/>
    <w:rsid w:val="0072587A"/>
    <w:rsid w:val="00725B17"/>
    <w:rsid w:val="00725DE3"/>
    <w:rsid w:val="007260BF"/>
    <w:rsid w:val="0072639A"/>
    <w:rsid w:val="00726679"/>
    <w:rsid w:val="00730CBB"/>
    <w:rsid w:val="0073127C"/>
    <w:rsid w:val="007316EA"/>
    <w:rsid w:val="00731A5D"/>
    <w:rsid w:val="00731AEF"/>
    <w:rsid w:val="0073294F"/>
    <w:rsid w:val="00732E8B"/>
    <w:rsid w:val="007330EC"/>
    <w:rsid w:val="007333EA"/>
    <w:rsid w:val="00733498"/>
    <w:rsid w:val="00733CD2"/>
    <w:rsid w:val="00735E8D"/>
    <w:rsid w:val="00736BA5"/>
    <w:rsid w:val="007372C1"/>
    <w:rsid w:val="00737987"/>
    <w:rsid w:val="00737FAA"/>
    <w:rsid w:val="0074014A"/>
    <w:rsid w:val="007401E2"/>
    <w:rsid w:val="007404B4"/>
    <w:rsid w:val="00740C09"/>
    <w:rsid w:val="00740CBF"/>
    <w:rsid w:val="00740E76"/>
    <w:rsid w:val="00741790"/>
    <w:rsid w:val="007426D4"/>
    <w:rsid w:val="00742D0A"/>
    <w:rsid w:val="00742F7D"/>
    <w:rsid w:val="00742F7E"/>
    <w:rsid w:val="0074327C"/>
    <w:rsid w:val="00743571"/>
    <w:rsid w:val="007437CB"/>
    <w:rsid w:val="00743D3B"/>
    <w:rsid w:val="00743FFD"/>
    <w:rsid w:val="0074487D"/>
    <w:rsid w:val="007456F2"/>
    <w:rsid w:val="00745CB1"/>
    <w:rsid w:val="00747229"/>
    <w:rsid w:val="00747504"/>
    <w:rsid w:val="00747CD5"/>
    <w:rsid w:val="007508FB"/>
    <w:rsid w:val="00750AC0"/>
    <w:rsid w:val="00750ADA"/>
    <w:rsid w:val="007511E5"/>
    <w:rsid w:val="00751431"/>
    <w:rsid w:val="007515D6"/>
    <w:rsid w:val="00752926"/>
    <w:rsid w:val="00753658"/>
    <w:rsid w:val="00753FDC"/>
    <w:rsid w:val="007543AC"/>
    <w:rsid w:val="00754B77"/>
    <w:rsid w:val="00755532"/>
    <w:rsid w:val="00755679"/>
    <w:rsid w:val="00755849"/>
    <w:rsid w:val="00755E56"/>
    <w:rsid w:val="00756031"/>
    <w:rsid w:val="00756698"/>
    <w:rsid w:val="00756B1F"/>
    <w:rsid w:val="00756BB8"/>
    <w:rsid w:val="00756CAB"/>
    <w:rsid w:val="00756F83"/>
    <w:rsid w:val="007575E4"/>
    <w:rsid w:val="007600E7"/>
    <w:rsid w:val="0076050E"/>
    <w:rsid w:val="0076133D"/>
    <w:rsid w:val="0076160E"/>
    <w:rsid w:val="007617A9"/>
    <w:rsid w:val="00761941"/>
    <w:rsid w:val="00762199"/>
    <w:rsid w:val="00763009"/>
    <w:rsid w:val="00763212"/>
    <w:rsid w:val="00763AA0"/>
    <w:rsid w:val="00763EE6"/>
    <w:rsid w:val="00763FBF"/>
    <w:rsid w:val="00764E39"/>
    <w:rsid w:val="00764FD5"/>
    <w:rsid w:val="00765309"/>
    <w:rsid w:val="00765AF8"/>
    <w:rsid w:val="00766711"/>
    <w:rsid w:val="00766A96"/>
    <w:rsid w:val="007672DF"/>
    <w:rsid w:val="007673C0"/>
    <w:rsid w:val="00767CC3"/>
    <w:rsid w:val="007707A3"/>
    <w:rsid w:val="00770CD1"/>
    <w:rsid w:val="0077109F"/>
    <w:rsid w:val="00772B86"/>
    <w:rsid w:val="00773108"/>
    <w:rsid w:val="0077331C"/>
    <w:rsid w:val="0077379D"/>
    <w:rsid w:val="00773C9F"/>
    <w:rsid w:val="0077459B"/>
    <w:rsid w:val="007749AA"/>
    <w:rsid w:val="0077638E"/>
    <w:rsid w:val="0077738C"/>
    <w:rsid w:val="007774CC"/>
    <w:rsid w:val="00777CBE"/>
    <w:rsid w:val="00777EA9"/>
    <w:rsid w:val="00777F4D"/>
    <w:rsid w:val="00780538"/>
    <w:rsid w:val="00780815"/>
    <w:rsid w:val="00780C70"/>
    <w:rsid w:val="00780D53"/>
    <w:rsid w:val="00781174"/>
    <w:rsid w:val="007821D8"/>
    <w:rsid w:val="007826B1"/>
    <w:rsid w:val="00782B47"/>
    <w:rsid w:val="00782CA8"/>
    <w:rsid w:val="0078380E"/>
    <w:rsid w:val="00784C2B"/>
    <w:rsid w:val="00785030"/>
    <w:rsid w:val="007852FA"/>
    <w:rsid w:val="007855A7"/>
    <w:rsid w:val="0078603A"/>
    <w:rsid w:val="007864DB"/>
    <w:rsid w:val="00786F6B"/>
    <w:rsid w:val="007870A5"/>
    <w:rsid w:val="00790167"/>
    <w:rsid w:val="00790378"/>
    <w:rsid w:val="00790FD1"/>
    <w:rsid w:val="007914A5"/>
    <w:rsid w:val="0079226B"/>
    <w:rsid w:val="00793AA9"/>
    <w:rsid w:val="00793EBB"/>
    <w:rsid w:val="007958A1"/>
    <w:rsid w:val="00795FC7"/>
    <w:rsid w:val="0079626D"/>
    <w:rsid w:val="007967A0"/>
    <w:rsid w:val="00796AFB"/>
    <w:rsid w:val="007976F9"/>
    <w:rsid w:val="007A0AC3"/>
    <w:rsid w:val="007A1304"/>
    <w:rsid w:val="007A178E"/>
    <w:rsid w:val="007A1B7C"/>
    <w:rsid w:val="007A1C18"/>
    <w:rsid w:val="007A1DE4"/>
    <w:rsid w:val="007A20B9"/>
    <w:rsid w:val="007A24ED"/>
    <w:rsid w:val="007A2A78"/>
    <w:rsid w:val="007A3355"/>
    <w:rsid w:val="007A37A3"/>
    <w:rsid w:val="007A38B2"/>
    <w:rsid w:val="007A398F"/>
    <w:rsid w:val="007A3D76"/>
    <w:rsid w:val="007A40D4"/>
    <w:rsid w:val="007A4222"/>
    <w:rsid w:val="007A4FB3"/>
    <w:rsid w:val="007A5C42"/>
    <w:rsid w:val="007A5ECC"/>
    <w:rsid w:val="007A6126"/>
    <w:rsid w:val="007A648E"/>
    <w:rsid w:val="007A6CA6"/>
    <w:rsid w:val="007A74AE"/>
    <w:rsid w:val="007A7EF5"/>
    <w:rsid w:val="007B0226"/>
    <w:rsid w:val="007B085C"/>
    <w:rsid w:val="007B0EB7"/>
    <w:rsid w:val="007B208E"/>
    <w:rsid w:val="007B4324"/>
    <w:rsid w:val="007B451B"/>
    <w:rsid w:val="007B5CFB"/>
    <w:rsid w:val="007B5D43"/>
    <w:rsid w:val="007B6043"/>
    <w:rsid w:val="007B6733"/>
    <w:rsid w:val="007B7146"/>
    <w:rsid w:val="007B786D"/>
    <w:rsid w:val="007B7A7A"/>
    <w:rsid w:val="007B7F83"/>
    <w:rsid w:val="007B7FC8"/>
    <w:rsid w:val="007C002F"/>
    <w:rsid w:val="007C0517"/>
    <w:rsid w:val="007C0899"/>
    <w:rsid w:val="007C0AEE"/>
    <w:rsid w:val="007C0D43"/>
    <w:rsid w:val="007C1DE1"/>
    <w:rsid w:val="007C20D2"/>
    <w:rsid w:val="007C344A"/>
    <w:rsid w:val="007C396B"/>
    <w:rsid w:val="007C39FD"/>
    <w:rsid w:val="007C3F40"/>
    <w:rsid w:val="007C4EBD"/>
    <w:rsid w:val="007C5AB6"/>
    <w:rsid w:val="007C5CC3"/>
    <w:rsid w:val="007C6692"/>
    <w:rsid w:val="007C6801"/>
    <w:rsid w:val="007C6C5B"/>
    <w:rsid w:val="007C6DC1"/>
    <w:rsid w:val="007C77F7"/>
    <w:rsid w:val="007D037D"/>
    <w:rsid w:val="007D0BA5"/>
    <w:rsid w:val="007D1513"/>
    <w:rsid w:val="007D17D7"/>
    <w:rsid w:val="007D18A9"/>
    <w:rsid w:val="007D2198"/>
    <w:rsid w:val="007D2F08"/>
    <w:rsid w:val="007D3E82"/>
    <w:rsid w:val="007D4821"/>
    <w:rsid w:val="007D49C0"/>
    <w:rsid w:val="007D4C6A"/>
    <w:rsid w:val="007D4F1F"/>
    <w:rsid w:val="007D6E69"/>
    <w:rsid w:val="007D6E8A"/>
    <w:rsid w:val="007D770E"/>
    <w:rsid w:val="007E0395"/>
    <w:rsid w:val="007E03BD"/>
    <w:rsid w:val="007E060B"/>
    <w:rsid w:val="007E0B04"/>
    <w:rsid w:val="007E0B78"/>
    <w:rsid w:val="007E0F81"/>
    <w:rsid w:val="007E1912"/>
    <w:rsid w:val="007E228F"/>
    <w:rsid w:val="007E2599"/>
    <w:rsid w:val="007E332D"/>
    <w:rsid w:val="007E3571"/>
    <w:rsid w:val="007E39C7"/>
    <w:rsid w:val="007E3A57"/>
    <w:rsid w:val="007E3CC0"/>
    <w:rsid w:val="007E3D33"/>
    <w:rsid w:val="007E495F"/>
    <w:rsid w:val="007E4E09"/>
    <w:rsid w:val="007E57AE"/>
    <w:rsid w:val="007E6B10"/>
    <w:rsid w:val="007E752E"/>
    <w:rsid w:val="007E7964"/>
    <w:rsid w:val="007F075A"/>
    <w:rsid w:val="007F08A7"/>
    <w:rsid w:val="007F1DD9"/>
    <w:rsid w:val="007F28E7"/>
    <w:rsid w:val="007F2B1A"/>
    <w:rsid w:val="007F3D4F"/>
    <w:rsid w:val="007F3DAF"/>
    <w:rsid w:val="007F4440"/>
    <w:rsid w:val="007F44E4"/>
    <w:rsid w:val="007F5551"/>
    <w:rsid w:val="007F643D"/>
    <w:rsid w:val="007F6616"/>
    <w:rsid w:val="007F67C1"/>
    <w:rsid w:val="007F7389"/>
    <w:rsid w:val="007F764F"/>
    <w:rsid w:val="007F7855"/>
    <w:rsid w:val="007F7C86"/>
    <w:rsid w:val="0080074A"/>
    <w:rsid w:val="008018C0"/>
    <w:rsid w:val="008019E9"/>
    <w:rsid w:val="0080228D"/>
    <w:rsid w:val="00802520"/>
    <w:rsid w:val="0080254D"/>
    <w:rsid w:val="00802B28"/>
    <w:rsid w:val="00802E07"/>
    <w:rsid w:val="008042A0"/>
    <w:rsid w:val="00804CFD"/>
    <w:rsid w:val="00805D04"/>
    <w:rsid w:val="00807480"/>
    <w:rsid w:val="008107F2"/>
    <w:rsid w:val="00811299"/>
    <w:rsid w:val="00811A29"/>
    <w:rsid w:val="00811AE1"/>
    <w:rsid w:val="00811F37"/>
    <w:rsid w:val="0081278D"/>
    <w:rsid w:val="00813D58"/>
    <w:rsid w:val="00813D7A"/>
    <w:rsid w:val="00814362"/>
    <w:rsid w:val="008147A6"/>
    <w:rsid w:val="0081641B"/>
    <w:rsid w:val="00816BC3"/>
    <w:rsid w:val="00816C26"/>
    <w:rsid w:val="00817062"/>
    <w:rsid w:val="00820371"/>
    <w:rsid w:val="008206A3"/>
    <w:rsid w:val="00820A8B"/>
    <w:rsid w:val="00820C8D"/>
    <w:rsid w:val="008214A7"/>
    <w:rsid w:val="00821904"/>
    <w:rsid w:val="00822917"/>
    <w:rsid w:val="00822A76"/>
    <w:rsid w:val="00822C70"/>
    <w:rsid w:val="0082306E"/>
    <w:rsid w:val="00823F0C"/>
    <w:rsid w:val="00824AF1"/>
    <w:rsid w:val="008257E3"/>
    <w:rsid w:val="0082581E"/>
    <w:rsid w:val="00825AB9"/>
    <w:rsid w:val="00825E80"/>
    <w:rsid w:val="00826CF1"/>
    <w:rsid w:val="0082712D"/>
    <w:rsid w:val="00832451"/>
    <w:rsid w:val="00832484"/>
    <w:rsid w:val="008330C0"/>
    <w:rsid w:val="008336C6"/>
    <w:rsid w:val="008339E5"/>
    <w:rsid w:val="00833D8C"/>
    <w:rsid w:val="00834236"/>
    <w:rsid w:val="00834A4E"/>
    <w:rsid w:val="00836347"/>
    <w:rsid w:val="0083698A"/>
    <w:rsid w:val="00837C0E"/>
    <w:rsid w:val="00837E66"/>
    <w:rsid w:val="0084027C"/>
    <w:rsid w:val="008407D5"/>
    <w:rsid w:val="0084121E"/>
    <w:rsid w:val="008414D8"/>
    <w:rsid w:val="008415E7"/>
    <w:rsid w:val="00841866"/>
    <w:rsid w:val="00841C8E"/>
    <w:rsid w:val="00842111"/>
    <w:rsid w:val="00842A33"/>
    <w:rsid w:val="00842B8F"/>
    <w:rsid w:val="00843205"/>
    <w:rsid w:val="00843A3C"/>
    <w:rsid w:val="00843B35"/>
    <w:rsid w:val="00843B5C"/>
    <w:rsid w:val="00843B61"/>
    <w:rsid w:val="00843BA4"/>
    <w:rsid w:val="00843DFD"/>
    <w:rsid w:val="008447E3"/>
    <w:rsid w:val="00844DF9"/>
    <w:rsid w:val="00845144"/>
    <w:rsid w:val="00845B1C"/>
    <w:rsid w:val="00845C4E"/>
    <w:rsid w:val="0084639F"/>
    <w:rsid w:val="00846951"/>
    <w:rsid w:val="00846B66"/>
    <w:rsid w:val="00847CAE"/>
    <w:rsid w:val="00847EBA"/>
    <w:rsid w:val="0085038C"/>
    <w:rsid w:val="00851572"/>
    <w:rsid w:val="00852D6B"/>
    <w:rsid w:val="008531C7"/>
    <w:rsid w:val="0085360A"/>
    <w:rsid w:val="008538CC"/>
    <w:rsid w:val="00853D16"/>
    <w:rsid w:val="00853DD7"/>
    <w:rsid w:val="00854B7E"/>
    <w:rsid w:val="0085569F"/>
    <w:rsid w:val="00855A49"/>
    <w:rsid w:val="00855D81"/>
    <w:rsid w:val="00855E72"/>
    <w:rsid w:val="00856990"/>
    <w:rsid w:val="00857589"/>
    <w:rsid w:val="008576DF"/>
    <w:rsid w:val="00857784"/>
    <w:rsid w:val="008604FE"/>
    <w:rsid w:val="00860EAE"/>
    <w:rsid w:val="008614D9"/>
    <w:rsid w:val="00861F37"/>
    <w:rsid w:val="008630B6"/>
    <w:rsid w:val="0086317B"/>
    <w:rsid w:val="008649DC"/>
    <w:rsid w:val="00865091"/>
    <w:rsid w:val="00865620"/>
    <w:rsid w:val="00865757"/>
    <w:rsid w:val="00865C61"/>
    <w:rsid w:val="00867942"/>
    <w:rsid w:val="00871983"/>
    <w:rsid w:val="00871E9C"/>
    <w:rsid w:val="0087215B"/>
    <w:rsid w:val="008725E2"/>
    <w:rsid w:val="008730BC"/>
    <w:rsid w:val="0087396E"/>
    <w:rsid w:val="00873F30"/>
    <w:rsid w:val="00877463"/>
    <w:rsid w:val="00877472"/>
    <w:rsid w:val="008778B3"/>
    <w:rsid w:val="00880158"/>
    <w:rsid w:val="0088090B"/>
    <w:rsid w:val="00880E07"/>
    <w:rsid w:val="00880E83"/>
    <w:rsid w:val="00882159"/>
    <w:rsid w:val="00882441"/>
    <w:rsid w:val="008828AD"/>
    <w:rsid w:val="00882F6A"/>
    <w:rsid w:val="008832B0"/>
    <w:rsid w:val="0088379D"/>
    <w:rsid w:val="00884630"/>
    <w:rsid w:val="008847B3"/>
    <w:rsid w:val="00885A20"/>
    <w:rsid w:val="00886453"/>
    <w:rsid w:val="00886B4F"/>
    <w:rsid w:val="0088770C"/>
    <w:rsid w:val="008915E8"/>
    <w:rsid w:val="00892A29"/>
    <w:rsid w:val="008944A6"/>
    <w:rsid w:val="0089497D"/>
    <w:rsid w:val="00895100"/>
    <w:rsid w:val="00896064"/>
    <w:rsid w:val="00896463"/>
    <w:rsid w:val="00896815"/>
    <w:rsid w:val="00896DE6"/>
    <w:rsid w:val="00897724"/>
    <w:rsid w:val="008A042B"/>
    <w:rsid w:val="008A2437"/>
    <w:rsid w:val="008A2BD2"/>
    <w:rsid w:val="008A47D8"/>
    <w:rsid w:val="008A49F0"/>
    <w:rsid w:val="008A4B7E"/>
    <w:rsid w:val="008A5B2F"/>
    <w:rsid w:val="008A765D"/>
    <w:rsid w:val="008A773F"/>
    <w:rsid w:val="008B00A9"/>
    <w:rsid w:val="008B0130"/>
    <w:rsid w:val="008B05E0"/>
    <w:rsid w:val="008B286B"/>
    <w:rsid w:val="008B33ED"/>
    <w:rsid w:val="008B4005"/>
    <w:rsid w:val="008B4445"/>
    <w:rsid w:val="008B6236"/>
    <w:rsid w:val="008B632F"/>
    <w:rsid w:val="008B655B"/>
    <w:rsid w:val="008B662E"/>
    <w:rsid w:val="008B6689"/>
    <w:rsid w:val="008B6B05"/>
    <w:rsid w:val="008B6BF6"/>
    <w:rsid w:val="008B6DC8"/>
    <w:rsid w:val="008B6F0F"/>
    <w:rsid w:val="008B6F90"/>
    <w:rsid w:val="008B7932"/>
    <w:rsid w:val="008B7B70"/>
    <w:rsid w:val="008B7DB2"/>
    <w:rsid w:val="008C23C3"/>
    <w:rsid w:val="008C28C5"/>
    <w:rsid w:val="008C3290"/>
    <w:rsid w:val="008C3731"/>
    <w:rsid w:val="008C485E"/>
    <w:rsid w:val="008C60F7"/>
    <w:rsid w:val="008C6610"/>
    <w:rsid w:val="008C6D48"/>
    <w:rsid w:val="008C6FBD"/>
    <w:rsid w:val="008C737A"/>
    <w:rsid w:val="008D07AA"/>
    <w:rsid w:val="008D0EC8"/>
    <w:rsid w:val="008D1164"/>
    <w:rsid w:val="008D1318"/>
    <w:rsid w:val="008D1625"/>
    <w:rsid w:val="008D1B05"/>
    <w:rsid w:val="008D2103"/>
    <w:rsid w:val="008D21D6"/>
    <w:rsid w:val="008D21FF"/>
    <w:rsid w:val="008D248D"/>
    <w:rsid w:val="008D3338"/>
    <w:rsid w:val="008D3628"/>
    <w:rsid w:val="008D51C3"/>
    <w:rsid w:val="008D60ED"/>
    <w:rsid w:val="008D6F4A"/>
    <w:rsid w:val="008D7AE1"/>
    <w:rsid w:val="008E02F8"/>
    <w:rsid w:val="008E117E"/>
    <w:rsid w:val="008E18C5"/>
    <w:rsid w:val="008E2D84"/>
    <w:rsid w:val="008E3CFD"/>
    <w:rsid w:val="008E41C4"/>
    <w:rsid w:val="008E45C9"/>
    <w:rsid w:val="008E48A1"/>
    <w:rsid w:val="008E4A92"/>
    <w:rsid w:val="008E4D4D"/>
    <w:rsid w:val="008E5398"/>
    <w:rsid w:val="008E5E11"/>
    <w:rsid w:val="008E61FF"/>
    <w:rsid w:val="008E6F00"/>
    <w:rsid w:val="008E7F04"/>
    <w:rsid w:val="008E7F80"/>
    <w:rsid w:val="008F005B"/>
    <w:rsid w:val="008F0182"/>
    <w:rsid w:val="008F02A9"/>
    <w:rsid w:val="008F15F4"/>
    <w:rsid w:val="008F1DFE"/>
    <w:rsid w:val="008F2467"/>
    <w:rsid w:val="008F2660"/>
    <w:rsid w:val="008F4055"/>
    <w:rsid w:val="008F40F2"/>
    <w:rsid w:val="008F4479"/>
    <w:rsid w:val="008F4BE2"/>
    <w:rsid w:val="008F4F95"/>
    <w:rsid w:val="008F52E0"/>
    <w:rsid w:val="008F53CF"/>
    <w:rsid w:val="008F5545"/>
    <w:rsid w:val="008F74DD"/>
    <w:rsid w:val="00900792"/>
    <w:rsid w:val="009012F0"/>
    <w:rsid w:val="00901A90"/>
    <w:rsid w:val="00901AC8"/>
    <w:rsid w:val="00902159"/>
    <w:rsid w:val="009023CF"/>
    <w:rsid w:val="00902558"/>
    <w:rsid w:val="009028F4"/>
    <w:rsid w:val="00902A2A"/>
    <w:rsid w:val="00902E56"/>
    <w:rsid w:val="00902EE1"/>
    <w:rsid w:val="0090378A"/>
    <w:rsid w:val="00903A05"/>
    <w:rsid w:val="00904A56"/>
    <w:rsid w:val="00904EB7"/>
    <w:rsid w:val="00904F63"/>
    <w:rsid w:val="00905660"/>
    <w:rsid w:val="0090568E"/>
    <w:rsid w:val="009058A2"/>
    <w:rsid w:val="00906023"/>
    <w:rsid w:val="009061EE"/>
    <w:rsid w:val="00906238"/>
    <w:rsid w:val="00906D41"/>
    <w:rsid w:val="00907D99"/>
    <w:rsid w:val="0091014A"/>
    <w:rsid w:val="00910DA2"/>
    <w:rsid w:val="009110CE"/>
    <w:rsid w:val="009111E9"/>
    <w:rsid w:val="00911672"/>
    <w:rsid w:val="00911725"/>
    <w:rsid w:val="00911B13"/>
    <w:rsid w:val="009135CA"/>
    <w:rsid w:val="00913A25"/>
    <w:rsid w:val="0091528A"/>
    <w:rsid w:val="009153BB"/>
    <w:rsid w:val="00915517"/>
    <w:rsid w:val="009158E8"/>
    <w:rsid w:val="00915950"/>
    <w:rsid w:val="00916B50"/>
    <w:rsid w:val="00917992"/>
    <w:rsid w:val="00917DDE"/>
    <w:rsid w:val="0092086E"/>
    <w:rsid w:val="00920CA9"/>
    <w:rsid w:val="00921445"/>
    <w:rsid w:val="009217E6"/>
    <w:rsid w:val="00921BE8"/>
    <w:rsid w:val="00921F44"/>
    <w:rsid w:val="0092259C"/>
    <w:rsid w:val="009227E7"/>
    <w:rsid w:val="00922C38"/>
    <w:rsid w:val="00922D20"/>
    <w:rsid w:val="00922F65"/>
    <w:rsid w:val="00922FE0"/>
    <w:rsid w:val="009238FB"/>
    <w:rsid w:val="009243A7"/>
    <w:rsid w:val="00924611"/>
    <w:rsid w:val="009246D4"/>
    <w:rsid w:val="00925659"/>
    <w:rsid w:val="00925CC8"/>
    <w:rsid w:val="00925DBD"/>
    <w:rsid w:val="00927468"/>
    <w:rsid w:val="00930CD2"/>
    <w:rsid w:val="00931214"/>
    <w:rsid w:val="0093129F"/>
    <w:rsid w:val="00931D95"/>
    <w:rsid w:val="00933265"/>
    <w:rsid w:val="00934530"/>
    <w:rsid w:val="00935A5E"/>
    <w:rsid w:val="00935B7F"/>
    <w:rsid w:val="00935F24"/>
    <w:rsid w:val="0093661B"/>
    <w:rsid w:val="00936BF3"/>
    <w:rsid w:val="0093754D"/>
    <w:rsid w:val="0094045B"/>
    <w:rsid w:val="00940DC2"/>
    <w:rsid w:val="00941A38"/>
    <w:rsid w:val="0094253E"/>
    <w:rsid w:val="00943067"/>
    <w:rsid w:val="009430C5"/>
    <w:rsid w:val="00943281"/>
    <w:rsid w:val="00943304"/>
    <w:rsid w:val="00943D04"/>
    <w:rsid w:val="009463C5"/>
    <w:rsid w:val="00946665"/>
    <w:rsid w:val="00946696"/>
    <w:rsid w:val="009468D3"/>
    <w:rsid w:val="009476B2"/>
    <w:rsid w:val="009500C0"/>
    <w:rsid w:val="0095069E"/>
    <w:rsid w:val="00951267"/>
    <w:rsid w:val="00951739"/>
    <w:rsid w:val="00951B91"/>
    <w:rsid w:val="00952C6C"/>
    <w:rsid w:val="00953171"/>
    <w:rsid w:val="0095375C"/>
    <w:rsid w:val="0095457D"/>
    <w:rsid w:val="009547B8"/>
    <w:rsid w:val="00954B8F"/>
    <w:rsid w:val="00955449"/>
    <w:rsid w:val="009554B1"/>
    <w:rsid w:val="0095593B"/>
    <w:rsid w:val="00955ADF"/>
    <w:rsid w:val="009561D2"/>
    <w:rsid w:val="00957021"/>
    <w:rsid w:val="00957B95"/>
    <w:rsid w:val="00960613"/>
    <w:rsid w:val="00960F33"/>
    <w:rsid w:val="00961C11"/>
    <w:rsid w:val="00961E1A"/>
    <w:rsid w:val="00961FBB"/>
    <w:rsid w:val="009626BC"/>
    <w:rsid w:val="00962855"/>
    <w:rsid w:val="00962BFE"/>
    <w:rsid w:val="00962C9D"/>
    <w:rsid w:val="00962E40"/>
    <w:rsid w:val="00963B6E"/>
    <w:rsid w:val="00963C94"/>
    <w:rsid w:val="00964808"/>
    <w:rsid w:val="00964905"/>
    <w:rsid w:val="00964BB8"/>
    <w:rsid w:val="00964D0A"/>
    <w:rsid w:val="0096520F"/>
    <w:rsid w:val="00965699"/>
    <w:rsid w:val="00965CE1"/>
    <w:rsid w:val="00965E93"/>
    <w:rsid w:val="009669B0"/>
    <w:rsid w:val="00967782"/>
    <w:rsid w:val="0097188F"/>
    <w:rsid w:val="00972301"/>
    <w:rsid w:val="00972586"/>
    <w:rsid w:val="00972F20"/>
    <w:rsid w:val="0097359C"/>
    <w:rsid w:val="00973D04"/>
    <w:rsid w:val="00973D51"/>
    <w:rsid w:val="00973D99"/>
    <w:rsid w:val="009742B1"/>
    <w:rsid w:val="00974726"/>
    <w:rsid w:val="00974A1D"/>
    <w:rsid w:val="00975CF6"/>
    <w:rsid w:val="00977336"/>
    <w:rsid w:val="00977415"/>
    <w:rsid w:val="0097748B"/>
    <w:rsid w:val="009776DE"/>
    <w:rsid w:val="00977FAB"/>
    <w:rsid w:val="00981AFB"/>
    <w:rsid w:val="009824C7"/>
    <w:rsid w:val="00983266"/>
    <w:rsid w:val="00983FA2"/>
    <w:rsid w:val="00986346"/>
    <w:rsid w:val="00987BF9"/>
    <w:rsid w:val="00987F66"/>
    <w:rsid w:val="00990DF3"/>
    <w:rsid w:val="009918A9"/>
    <w:rsid w:val="00991B75"/>
    <w:rsid w:val="00991BD8"/>
    <w:rsid w:val="00991EAF"/>
    <w:rsid w:val="00992649"/>
    <w:rsid w:val="009938A4"/>
    <w:rsid w:val="00993960"/>
    <w:rsid w:val="009942FA"/>
    <w:rsid w:val="00994369"/>
    <w:rsid w:val="00994CB5"/>
    <w:rsid w:val="00995274"/>
    <w:rsid w:val="00995538"/>
    <w:rsid w:val="009956B5"/>
    <w:rsid w:val="00996184"/>
    <w:rsid w:val="00996D72"/>
    <w:rsid w:val="00997132"/>
    <w:rsid w:val="00997C20"/>
    <w:rsid w:val="009A0000"/>
    <w:rsid w:val="009A15A2"/>
    <w:rsid w:val="009A165D"/>
    <w:rsid w:val="009A16AC"/>
    <w:rsid w:val="009A176B"/>
    <w:rsid w:val="009A25D3"/>
    <w:rsid w:val="009A2D68"/>
    <w:rsid w:val="009A35B2"/>
    <w:rsid w:val="009A36E6"/>
    <w:rsid w:val="009A37EA"/>
    <w:rsid w:val="009A4A84"/>
    <w:rsid w:val="009A591B"/>
    <w:rsid w:val="009A5FD7"/>
    <w:rsid w:val="009A69D3"/>
    <w:rsid w:val="009A6C8B"/>
    <w:rsid w:val="009A6E44"/>
    <w:rsid w:val="009A6F9A"/>
    <w:rsid w:val="009A73EE"/>
    <w:rsid w:val="009A7A29"/>
    <w:rsid w:val="009A7F7A"/>
    <w:rsid w:val="009B11BD"/>
    <w:rsid w:val="009B1E56"/>
    <w:rsid w:val="009B2525"/>
    <w:rsid w:val="009B2929"/>
    <w:rsid w:val="009B2D6A"/>
    <w:rsid w:val="009B3DF4"/>
    <w:rsid w:val="009B43BB"/>
    <w:rsid w:val="009B49CC"/>
    <w:rsid w:val="009B5254"/>
    <w:rsid w:val="009B54F0"/>
    <w:rsid w:val="009B5783"/>
    <w:rsid w:val="009B57EF"/>
    <w:rsid w:val="009B66BF"/>
    <w:rsid w:val="009B66F2"/>
    <w:rsid w:val="009B6D6E"/>
    <w:rsid w:val="009B78D3"/>
    <w:rsid w:val="009B7EA3"/>
    <w:rsid w:val="009C00BC"/>
    <w:rsid w:val="009C0390"/>
    <w:rsid w:val="009C149C"/>
    <w:rsid w:val="009C1936"/>
    <w:rsid w:val="009C227F"/>
    <w:rsid w:val="009C2851"/>
    <w:rsid w:val="009C2D5B"/>
    <w:rsid w:val="009C37A4"/>
    <w:rsid w:val="009C4931"/>
    <w:rsid w:val="009C4DBD"/>
    <w:rsid w:val="009C5476"/>
    <w:rsid w:val="009C5B10"/>
    <w:rsid w:val="009C604C"/>
    <w:rsid w:val="009C6468"/>
    <w:rsid w:val="009C732B"/>
    <w:rsid w:val="009C74A4"/>
    <w:rsid w:val="009C76E9"/>
    <w:rsid w:val="009C7EA3"/>
    <w:rsid w:val="009D00DC"/>
    <w:rsid w:val="009D05A9"/>
    <w:rsid w:val="009D05DB"/>
    <w:rsid w:val="009D0C59"/>
    <w:rsid w:val="009D0D1E"/>
    <w:rsid w:val="009D196F"/>
    <w:rsid w:val="009D198D"/>
    <w:rsid w:val="009D202D"/>
    <w:rsid w:val="009D23B5"/>
    <w:rsid w:val="009D31A0"/>
    <w:rsid w:val="009D36D1"/>
    <w:rsid w:val="009D41A9"/>
    <w:rsid w:val="009D4775"/>
    <w:rsid w:val="009D60F5"/>
    <w:rsid w:val="009D6F33"/>
    <w:rsid w:val="009D706A"/>
    <w:rsid w:val="009D70AB"/>
    <w:rsid w:val="009D79B9"/>
    <w:rsid w:val="009D79D1"/>
    <w:rsid w:val="009E101F"/>
    <w:rsid w:val="009E14A3"/>
    <w:rsid w:val="009E14BE"/>
    <w:rsid w:val="009E16B9"/>
    <w:rsid w:val="009E2827"/>
    <w:rsid w:val="009E30C4"/>
    <w:rsid w:val="009E3C1A"/>
    <w:rsid w:val="009E4BCD"/>
    <w:rsid w:val="009E507F"/>
    <w:rsid w:val="009E64DB"/>
    <w:rsid w:val="009E6846"/>
    <w:rsid w:val="009E6BCE"/>
    <w:rsid w:val="009E6CAE"/>
    <w:rsid w:val="009F0668"/>
    <w:rsid w:val="009F06FE"/>
    <w:rsid w:val="009F1482"/>
    <w:rsid w:val="009F1E0C"/>
    <w:rsid w:val="009F2DEF"/>
    <w:rsid w:val="009F3879"/>
    <w:rsid w:val="009F39CE"/>
    <w:rsid w:val="009F3A8C"/>
    <w:rsid w:val="009F3C64"/>
    <w:rsid w:val="009F3EC6"/>
    <w:rsid w:val="009F403A"/>
    <w:rsid w:val="009F4090"/>
    <w:rsid w:val="009F44AE"/>
    <w:rsid w:val="009F4E9A"/>
    <w:rsid w:val="009F5270"/>
    <w:rsid w:val="009F6D95"/>
    <w:rsid w:val="009F713B"/>
    <w:rsid w:val="009F7AD9"/>
    <w:rsid w:val="009F7AF1"/>
    <w:rsid w:val="009F7B4C"/>
    <w:rsid w:val="009F7CF2"/>
    <w:rsid w:val="00A0042A"/>
    <w:rsid w:val="00A012F0"/>
    <w:rsid w:val="00A01581"/>
    <w:rsid w:val="00A01ACF"/>
    <w:rsid w:val="00A01DB2"/>
    <w:rsid w:val="00A02167"/>
    <w:rsid w:val="00A04821"/>
    <w:rsid w:val="00A04858"/>
    <w:rsid w:val="00A04ABB"/>
    <w:rsid w:val="00A04EF3"/>
    <w:rsid w:val="00A05211"/>
    <w:rsid w:val="00A060D2"/>
    <w:rsid w:val="00A06717"/>
    <w:rsid w:val="00A075AD"/>
    <w:rsid w:val="00A07FE0"/>
    <w:rsid w:val="00A104AE"/>
    <w:rsid w:val="00A10BBE"/>
    <w:rsid w:val="00A1127F"/>
    <w:rsid w:val="00A116B2"/>
    <w:rsid w:val="00A116D8"/>
    <w:rsid w:val="00A1204C"/>
    <w:rsid w:val="00A1242E"/>
    <w:rsid w:val="00A12459"/>
    <w:rsid w:val="00A129A5"/>
    <w:rsid w:val="00A12E7C"/>
    <w:rsid w:val="00A13A5A"/>
    <w:rsid w:val="00A13CB0"/>
    <w:rsid w:val="00A1470A"/>
    <w:rsid w:val="00A1509C"/>
    <w:rsid w:val="00A16966"/>
    <w:rsid w:val="00A175A0"/>
    <w:rsid w:val="00A20889"/>
    <w:rsid w:val="00A209C2"/>
    <w:rsid w:val="00A20E85"/>
    <w:rsid w:val="00A21287"/>
    <w:rsid w:val="00A21F01"/>
    <w:rsid w:val="00A22027"/>
    <w:rsid w:val="00A2234F"/>
    <w:rsid w:val="00A2367C"/>
    <w:rsid w:val="00A24B15"/>
    <w:rsid w:val="00A24DD1"/>
    <w:rsid w:val="00A2525D"/>
    <w:rsid w:val="00A25438"/>
    <w:rsid w:val="00A275D5"/>
    <w:rsid w:val="00A3073A"/>
    <w:rsid w:val="00A30A7F"/>
    <w:rsid w:val="00A3103F"/>
    <w:rsid w:val="00A312F3"/>
    <w:rsid w:val="00A324E0"/>
    <w:rsid w:val="00A32F67"/>
    <w:rsid w:val="00A33EE6"/>
    <w:rsid w:val="00A34B8F"/>
    <w:rsid w:val="00A35A9D"/>
    <w:rsid w:val="00A35B7A"/>
    <w:rsid w:val="00A366A2"/>
    <w:rsid w:val="00A36F93"/>
    <w:rsid w:val="00A37094"/>
    <w:rsid w:val="00A372DC"/>
    <w:rsid w:val="00A37F38"/>
    <w:rsid w:val="00A40F68"/>
    <w:rsid w:val="00A4131D"/>
    <w:rsid w:val="00A41745"/>
    <w:rsid w:val="00A42092"/>
    <w:rsid w:val="00A4493E"/>
    <w:rsid w:val="00A44C15"/>
    <w:rsid w:val="00A44C3E"/>
    <w:rsid w:val="00A4500D"/>
    <w:rsid w:val="00A45F08"/>
    <w:rsid w:val="00A46077"/>
    <w:rsid w:val="00A46358"/>
    <w:rsid w:val="00A4781C"/>
    <w:rsid w:val="00A47B19"/>
    <w:rsid w:val="00A47FD8"/>
    <w:rsid w:val="00A500C6"/>
    <w:rsid w:val="00A5020B"/>
    <w:rsid w:val="00A52F50"/>
    <w:rsid w:val="00A53D81"/>
    <w:rsid w:val="00A54844"/>
    <w:rsid w:val="00A54C47"/>
    <w:rsid w:val="00A55982"/>
    <w:rsid w:val="00A55ECC"/>
    <w:rsid w:val="00A5792E"/>
    <w:rsid w:val="00A57C89"/>
    <w:rsid w:val="00A57DC9"/>
    <w:rsid w:val="00A60086"/>
    <w:rsid w:val="00A60CC4"/>
    <w:rsid w:val="00A61000"/>
    <w:rsid w:val="00A61F2C"/>
    <w:rsid w:val="00A62501"/>
    <w:rsid w:val="00A6252B"/>
    <w:rsid w:val="00A63447"/>
    <w:rsid w:val="00A634F1"/>
    <w:rsid w:val="00A63C66"/>
    <w:rsid w:val="00A63DF4"/>
    <w:rsid w:val="00A64326"/>
    <w:rsid w:val="00A645B6"/>
    <w:rsid w:val="00A648CA"/>
    <w:rsid w:val="00A64BA3"/>
    <w:rsid w:val="00A64FE1"/>
    <w:rsid w:val="00A65D4A"/>
    <w:rsid w:val="00A66406"/>
    <w:rsid w:val="00A66AAC"/>
    <w:rsid w:val="00A66AC0"/>
    <w:rsid w:val="00A66DE4"/>
    <w:rsid w:val="00A67DEA"/>
    <w:rsid w:val="00A67EEA"/>
    <w:rsid w:val="00A701B6"/>
    <w:rsid w:val="00A71D14"/>
    <w:rsid w:val="00A71E5A"/>
    <w:rsid w:val="00A730A3"/>
    <w:rsid w:val="00A734A8"/>
    <w:rsid w:val="00A73822"/>
    <w:rsid w:val="00A73B97"/>
    <w:rsid w:val="00A73E87"/>
    <w:rsid w:val="00A75331"/>
    <w:rsid w:val="00A759FF"/>
    <w:rsid w:val="00A75D32"/>
    <w:rsid w:val="00A75D4C"/>
    <w:rsid w:val="00A76999"/>
    <w:rsid w:val="00A7745B"/>
    <w:rsid w:val="00A774B2"/>
    <w:rsid w:val="00A77B08"/>
    <w:rsid w:val="00A77BDE"/>
    <w:rsid w:val="00A80179"/>
    <w:rsid w:val="00A805A0"/>
    <w:rsid w:val="00A81A86"/>
    <w:rsid w:val="00A823BD"/>
    <w:rsid w:val="00A82A9D"/>
    <w:rsid w:val="00A82EA1"/>
    <w:rsid w:val="00A8306B"/>
    <w:rsid w:val="00A83CE7"/>
    <w:rsid w:val="00A84074"/>
    <w:rsid w:val="00A8471B"/>
    <w:rsid w:val="00A86EA5"/>
    <w:rsid w:val="00A872D0"/>
    <w:rsid w:val="00A878D3"/>
    <w:rsid w:val="00A902F3"/>
    <w:rsid w:val="00A907D1"/>
    <w:rsid w:val="00A90F29"/>
    <w:rsid w:val="00A91163"/>
    <w:rsid w:val="00A915A7"/>
    <w:rsid w:val="00A933BD"/>
    <w:rsid w:val="00A937CC"/>
    <w:rsid w:val="00A93C71"/>
    <w:rsid w:val="00A945A7"/>
    <w:rsid w:val="00A94C6C"/>
    <w:rsid w:val="00A954BB"/>
    <w:rsid w:val="00A959E6"/>
    <w:rsid w:val="00A95A88"/>
    <w:rsid w:val="00A96B41"/>
    <w:rsid w:val="00A9734A"/>
    <w:rsid w:val="00AA0329"/>
    <w:rsid w:val="00AA06FE"/>
    <w:rsid w:val="00AA3294"/>
    <w:rsid w:val="00AA32F3"/>
    <w:rsid w:val="00AA3CE5"/>
    <w:rsid w:val="00AA3E57"/>
    <w:rsid w:val="00AA4196"/>
    <w:rsid w:val="00AA42B3"/>
    <w:rsid w:val="00AA4470"/>
    <w:rsid w:val="00AA62F4"/>
    <w:rsid w:val="00AA634C"/>
    <w:rsid w:val="00AA6A87"/>
    <w:rsid w:val="00AA6E4D"/>
    <w:rsid w:val="00AA7F71"/>
    <w:rsid w:val="00AB005E"/>
    <w:rsid w:val="00AB00D2"/>
    <w:rsid w:val="00AB15DB"/>
    <w:rsid w:val="00AB1976"/>
    <w:rsid w:val="00AB1C41"/>
    <w:rsid w:val="00AB2E49"/>
    <w:rsid w:val="00AB2E8C"/>
    <w:rsid w:val="00AB2F9D"/>
    <w:rsid w:val="00AB30A5"/>
    <w:rsid w:val="00AB3847"/>
    <w:rsid w:val="00AB38CF"/>
    <w:rsid w:val="00AB426E"/>
    <w:rsid w:val="00AB4BDA"/>
    <w:rsid w:val="00AB552A"/>
    <w:rsid w:val="00AB64A3"/>
    <w:rsid w:val="00AB64C5"/>
    <w:rsid w:val="00AB68D9"/>
    <w:rsid w:val="00AB6A46"/>
    <w:rsid w:val="00AB72B0"/>
    <w:rsid w:val="00AB73CF"/>
    <w:rsid w:val="00AB7442"/>
    <w:rsid w:val="00AB794B"/>
    <w:rsid w:val="00AC09C3"/>
    <w:rsid w:val="00AC10EC"/>
    <w:rsid w:val="00AC16B9"/>
    <w:rsid w:val="00AC1741"/>
    <w:rsid w:val="00AC1A8F"/>
    <w:rsid w:val="00AC2B50"/>
    <w:rsid w:val="00AC2C4C"/>
    <w:rsid w:val="00AC2E22"/>
    <w:rsid w:val="00AC3531"/>
    <w:rsid w:val="00AC452E"/>
    <w:rsid w:val="00AC5205"/>
    <w:rsid w:val="00AC68AB"/>
    <w:rsid w:val="00AC6D64"/>
    <w:rsid w:val="00AC728F"/>
    <w:rsid w:val="00AC72B7"/>
    <w:rsid w:val="00AD063D"/>
    <w:rsid w:val="00AD12A8"/>
    <w:rsid w:val="00AD19C2"/>
    <w:rsid w:val="00AD2B90"/>
    <w:rsid w:val="00AD3805"/>
    <w:rsid w:val="00AD39AB"/>
    <w:rsid w:val="00AD3A09"/>
    <w:rsid w:val="00AD487F"/>
    <w:rsid w:val="00AD48EE"/>
    <w:rsid w:val="00AD4943"/>
    <w:rsid w:val="00AD4D23"/>
    <w:rsid w:val="00AD5585"/>
    <w:rsid w:val="00AD5D91"/>
    <w:rsid w:val="00AD666D"/>
    <w:rsid w:val="00AD6A4F"/>
    <w:rsid w:val="00AD7BFD"/>
    <w:rsid w:val="00AD7EEF"/>
    <w:rsid w:val="00AE0E02"/>
    <w:rsid w:val="00AE31CF"/>
    <w:rsid w:val="00AE39A8"/>
    <w:rsid w:val="00AE3C20"/>
    <w:rsid w:val="00AE4CE2"/>
    <w:rsid w:val="00AE5B5D"/>
    <w:rsid w:val="00AE5C7F"/>
    <w:rsid w:val="00AE6B8E"/>
    <w:rsid w:val="00AE6D7E"/>
    <w:rsid w:val="00AE6E2C"/>
    <w:rsid w:val="00AE755F"/>
    <w:rsid w:val="00AE7730"/>
    <w:rsid w:val="00AE7D41"/>
    <w:rsid w:val="00AF0201"/>
    <w:rsid w:val="00AF05E0"/>
    <w:rsid w:val="00AF09E7"/>
    <w:rsid w:val="00AF1752"/>
    <w:rsid w:val="00AF2472"/>
    <w:rsid w:val="00AF2717"/>
    <w:rsid w:val="00AF4161"/>
    <w:rsid w:val="00AF509B"/>
    <w:rsid w:val="00AF5997"/>
    <w:rsid w:val="00AF5D4F"/>
    <w:rsid w:val="00AF5FBE"/>
    <w:rsid w:val="00AF6666"/>
    <w:rsid w:val="00AF6CDB"/>
    <w:rsid w:val="00AF6E3D"/>
    <w:rsid w:val="00AF72FD"/>
    <w:rsid w:val="00AF73E5"/>
    <w:rsid w:val="00B0000D"/>
    <w:rsid w:val="00B00024"/>
    <w:rsid w:val="00B025C5"/>
    <w:rsid w:val="00B031A7"/>
    <w:rsid w:val="00B033FB"/>
    <w:rsid w:val="00B03BB0"/>
    <w:rsid w:val="00B05A14"/>
    <w:rsid w:val="00B071A4"/>
    <w:rsid w:val="00B072C5"/>
    <w:rsid w:val="00B073E0"/>
    <w:rsid w:val="00B07476"/>
    <w:rsid w:val="00B11BAD"/>
    <w:rsid w:val="00B12255"/>
    <w:rsid w:val="00B12F6B"/>
    <w:rsid w:val="00B133AF"/>
    <w:rsid w:val="00B13EC7"/>
    <w:rsid w:val="00B1435D"/>
    <w:rsid w:val="00B14411"/>
    <w:rsid w:val="00B1532D"/>
    <w:rsid w:val="00B15507"/>
    <w:rsid w:val="00B1580C"/>
    <w:rsid w:val="00B15F65"/>
    <w:rsid w:val="00B160FA"/>
    <w:rsid w:val="00B160FF"/>
    <w:rsid w:val="00B17282"/>
    <w:rsid w:val="00B17A98"/>
    <w:rsid w:val="00B17DEC"/>
    <w:rsid w:val="00B20018"/>
    <w:rsid w:val="00B2005F"/>
    <w:rsid w:val="00B20BC8"/>
    <w:rsid w:val="00B2105E"/>
    <w:rsid w:val="00B213C4"/>
    <w:rsid w:val="00B21680"/>
    <w:rsid w:val="00B219DE"/>
    <w:rsid w:val="00B228CF"/>
    <w:rsid w:val="00B22BD9"/>
    <w:rsid w:val="00B2318A"/>
    <w:rsid w:val="00B237F5"/>
    <w:rsid w:val="00B23AB8"/>
    <w:rsid w:val="00B24B4B"/>
    <w:rsid w:val="00B24FE4"/>
    <w:rsid w:val="00B25936"/>
    <w:rsid w:val="00B26129"/>
    <w:rsid w:val="00B26305"/>
    <w:rsid w:val="00B26792"/>
    <w:rsid w:val="00B273AD"/>
    <w:rsid w:val="00B273F3"/>
    <w:rsid w:val="00B274A6"/>
    <w:rsid w:val="00B27514"/>
    <w:rsid w:val="00B27AF7"/>
    <w:rsid w:val="00B3039F"/>
    <w:rsid w:val="00B3060F"/>
    <w:rsid w:val="00B30D06"/>
    <w:rsid w:val="00B30D3D"/>
    <w:rsid w:val="00B31B89"/>
    <w:rsid w:val="00B322F3"/>
    <w:rsid w:val="00B324B9"/>
    <w:rsid w:val="00B325DF"/>
    <w:rsid w:val="00B32983"/>
    <w:rsid w:val="00B3305D"/>
    <w:rsid w:val="00B337FA"/>
    <w:rsid w:val="00B34932"/>
    <w:rsid w:val="00B34B8E"/>
    <w:rsid w:val="00B34FC0"/>
    <w:rsid w:val="00B357CE"/>
    <w:rsid w:val="00B35900"/>
    <w:rsid w:val="00B3659C"/>
    <w:rsid w:val="00B36605"/>
    <w:rsid w:val="00B36852"/>
    <w:rsid w:val="00B37A53"/>
    <w:rsid w:val="00B37DC6"/>
    <w:rsid w:val="00B40135"/>
    <w:rsid w:val="00B40F21"/>
    <w:rsid w:val="00B410D1"/>
    <w:rsid w:val="00B4156B"/>
    <w:rsid w:val="00B42532"/>
    <w:rsid w:val="00B43956"/>
    <w:rsid w:val="00B445CA"/>
    <w:rsid w:val="00B453FE"/>
    <w:rsid w:val="00B47E80"/>
    <w:rsid w:val="00B47EC4"/>
    <w:rsid w:val="00B510E5"/>
    <w:rsid w:val="00B511D2"/>
    <w:rsid w:val="00B534CA"/>
    <w:rsid w:val="00B5350B"/>
    <w:rsid w:val="00B53A6E"/>
    <w:rsid w:val="00B53ADA"/>
    <w:rsid w:val="00B53BB4"/>
    <w:rsid w:val="00B540F8"/>
    <w:rsid w:val="00B54803"/>
    <w:rsid w:val="00B553FB"/>
    <w:rsid w:val="00B55452"/>
    <w:rsid w:val="00B56272"/>
    <w:rsid w:val="00B56EC0"/>
    <w:rsid w:val="00B56ECA"/>
    <w:rsid w:val="00B575AA"/>
    <w:rsid w:val="00B601D5"/>
    <w:rsid w:val="00B60569"/>
    <w:rsid w:val="00B62857"/>
    <w:rsid w:val="00B62971"/>
    <w:rsid w:val="00B63077"/>
    <w:rsid w:val="00B63450"/>
    <w:rsid w:val="00B63883"/>
    <w:rsid w:val="00B6422D"/>
    <w:rsid w:val="00B65172"/>
    <w:rsid w:val="00B673D6"/>
    <w:rsid w:val="00B675DC"/>
    <w:rsid w:val="00B6763B"/>
    <w:rsid w:val="00B72061"/>
    <w:rsid w:val="00B72982"/>
    <w:rsid w:val="00B74727"/>
    <w:rsid w:val="00B750BD"/>
    <w:rsid w:val="00B75228"/>
    <w:rsid w:val="00B755B2"/>
    <w:rsid w:val="00B76387"/>
    <w:rsid w:val="00B763EE"/>
    <w:rsid w:val="00B774FF"/>
    <w:rsid w:val="00B8032B"/>
    <w:rsid w:val="00B80F8B"/>
    <w:rsid w:val="00B81023"/>
    <w:rsid w:val="00B8117E"/>
    <w:rsid w:val="00B81364"/>
    <w:rsid w:val="00B81F30"/>
    <w:rsid w:val="00B821E7"/>
    <w:rsid w:val="00B82336"/>
    <w:rsid w:val="00B828AC"/>
    <w:rsid w:val="00B82ABA"/>
    <w:rsid w:val="00B832A0"/>
    <w:rsid w:val="00B83608"/>
    <w:rsid w:val="00B838F0"/>
    <w:rsid w:val="00B8396D"/>
    <w:rsid w:val="00B83C42"/>
    <w:rsid w:val="00B84270"/>
    <w:rsid w:val="00B847AE"/>
    <w:rsid w:val="00B8504F"/>
    <w:rsid w:val="00B86F50"/>
    <w:rsid w:val="00B87EB4"/>
    <w:rsid w:val="00B90B73"/>
    <w:rsid w:val="00B910EA"/>
    <w:rsid w:val="00B91670"/>
    <w:rsid w:val="00B918B4"/>
    <w:rsid w:val="00B9345B"/>
    <w:rsid w:val="00B934A4"/>
    <w:rsid w:val="00B93BA9"/>
    <w:rsid w:val="00B93CEA"/>
    <w:rsid w:val="00B949EE"/>
    <w:rsid w:val="00B9550E"/>
    <w:rsid w:val="00B956D2"/>
    <w:rsid w:val="00B95739"/>
    <w:rsid w:val="00B95D02"/>
    <w:rsid w:val="00B96053"/>
    <w:rsid w:val="00B969AA"/>
    <w:rsid w:val="00B969CB"/>
    <w:rsid w:val="00B96BC4"/>
    <w:rsid w:val="00B96F4C"/>
    <w:rsid w:val="00B96FE7"/>
    <w:rsid w:val="00B9744D"/>
    <w:rsid w:val="00BA01AB"/>
    <w:rsid w:val="00BA0326"/>
    <w:rsid w:val="00BA07D3"/>
    <w:rsid w:val="00BA0E23"/>
    <w:rsid w:val="00BA0F5F"/>
    <w:rsid w:val="00BA1339"/>
    <w:rsid w:val="00BA159C"/>
    <w:rsid w:val="00BA15B2"/>
    <w:rsid w:val="00BA2DC0"/>
    <w:rsid w:val="00BA2DD9"/>
    <w:rsid w:val="00BA3059"/>
    <w:rsid w:val="00BA391B"/>
    <w:rsid w:val="00BA50F0"/>
    <w:rsid w:val="00BA53F5"/>
    <w:rsid w:val="00BA5769"/>
    <w:rsid w:val="00BA5B48"/>
    <w:rsid w:val="00BA5CC4"/>
    <w:rsid w:val="00BA68D8"/>
    <w:rsid w:val="00BA69C8"/>
    <w:rsid w:val="00BA70B3"/>
    <w:rsid w:val="00BA7488"/>
    <w:rsid w:val="00BA7857"/>
    <w:rsid w:val="00BA7FB2"/>
    <w:rsid w:val="00BB00B2"/>
    <w:rsid w:val="00BB0768"/>
    <w:rsid w:val="00BB0D9C"/>
    <w:rsid w:val="00BB0E91"/>
    <w:rsid w:val="00BB0F8A"/>
    <w:rsid w:val="00BB1CE1"/>
    <w:rsid w:val="00BB1F9B"/>
    <w:rsid w:val="00BB22E6"/>
    <w:rsid w:val="00BB2568"/>
    <w:rsid w:val="00BB275A"/>
    <w:rsid w:val="00BB3348"/>
    <w:rsid w:val="00BB3BBC"/>
    <w:rsid w:val="00BB3FDF"/>
    <w:rsid w:val="00BB4122"/>
    <w:rsid w:val="00BB494C"/>
    <w:rsid w:val="00BB5134"/>
    <w:rsid w:val="00BB5A60"/>
    <w:rsid w:val="00BB69A2"/>
    <w:rsid w:val="00BB7037"/>
    <w:rsid w:val="00BB745B"/>
    <w:rsid w:val="00BB77CB"/>
    <w:rsid w:val="00BC0714"/>
    <w:rsid w:val="00BC083F"/>
    <w:rsid w:val="00BC0C8A"/>
    <w:rsid w:val="00BC0CA3"/>
    <w:rsid w:val="00BC0F1B"/>
    <w:rsid w:val="00BC139B"/>
    <w:rsid w:val="00BC22A4"/>
    <w:rsid w:val="00BC2B46"/>
    <w:rsid w:val="00BC3A4A"/>
    <w:rsid w:val="00BC3BB6"/>
    <w:rsid w:val="00BC3EB1"/>
    <w:rsid w:val="00BC47F5"/>
    <w:rsid w:val="00BC5A62"/>
    <w:rsid w:val="00BC5CE0"/>
    <w:rsid w:val="00BC7ECA"/>
    <w:rsid w:val="00BD0243"/>
    <w:rsid w:val="00BD0E60"/>
    <w:rsid w:val="00BD22EB"/>
    <w:rsid w:val="00BD3279"/>
    <w:rsid w:val="00BD32B3"/>
    <w:rsid w:val="00BD392C"/>
    <w:rsid w:val="00BD3B69"/>
    <w:rsid w:val="00BD4E22"/>
    <w:rsid w:val="00BD4E32"/>
    <w:rsid w:val="00BD5092"/>
    <w:rsid w:val="00BD54AF"/>
    <w:rsid w:val="00BD56E9"/>
    <w:rsid w:val="00BD571C"/>
    <w:rsid w:val="00BD5D3C"/>
    <w:rsid w:val="00BD6250"/>
    <w:rsid w:val="00BD6B8D"/>
    <w:rsid w:val="00BD7E0A"/>
    <w:rsid w:val="00BE086F"/>
    <w:rsid w:val="00BE0CA5"/>
    <w:rsid w:val="00BE112A"/>
    <w:rsid w:val="00BE1315"/>
    <w:rsid w:val="00BE223B"/>
    <w:rsid w:val="00BE2537"/>
    <w:rsid w:val="00BE25B9"/>
    <w:rsid w:val="00BE2CE2"/>
    <w:rsid w:val="00BE2E7A"/>
    <w:rsid w:val="00BE5E50"/>
    <w:rsid w:val="00BE6E28"/>
    <w:rsid w:val="00BE704D"/>
    <w:rsid w:val="00BE7269"/>
    <w:rsid w:val="00BE75E1"/>
    <w:rsid w:val="00BF0114"/>
    <w:rsid w:val="00BF05C6"/>
    <w:rsid w:val="00BF0624"/>
    <w:rsid w:val="00BF1272"/>
    <w:rsid w:val="00BF1CAC"/>
    <w:rsid w:val="00BF3981"/>
    <w:rsid w:val="00BF39A7"/>
    <w:rsid w:val="00BF3AE9"/>
    <w:rsid w:val="00BF505A"/>
    <w:rsid w:val="00BF7673"/>
    <w:rsid w:val="00BF7701"/>
    <w:rsid w:val="00BF77AA"/>
    <w:rsid w:val="00BF7D12"/>
    <w:rsid w:val="00BF7F5A"/>
    <w:rsid w:val="00C016C3"/>
    <w:rsid w:val="00C01E3B"/>
    <w:rsid w:val="00C026FD"/>
    <w:rsid w:val="00C03638"/>
    <w:rsid w:val="00C051EC"/>
    <w:rsid w:val="00C052DC"/>
    <w:rsid w:val="00C05BE2"/>
    <w:rsid w:val="00C05D3E"/>
    <w:rsid w:val="00C0647C"/>
    <w:rsid w:val="00C0777D"/>
    <w:rsid w:val="00C07817"/>
    <w:rsid w:val="00C1031E"/>
    <w:rsid w:val="00C117EF"/>
    <w:rsid w:val="00C12285"/>
    <w:rsid w:val="00C12500"/>
    <w:rsid w:val="00C12896"/>
    <w:rsid w:val="00C12EB6"/>
    <w:rsid w:val="00C13117"/>
    <w:rsid w:val="00C139DB"/>
    <w:rsid w:val="00C13CD7"/>
    <w:rsid w:val="00C14273"/>
    <w:rsid w:val="00C145A8"/>
    <w:rsid w:val="00C14C7D"/>
    <w:rsid w:val="00C152DE"/>
    <w:rsid w:val="00C15B79"/>
    <w:rsid w:val="00C15D12"/>
    <w:rsid w:val="00C1638C"/>
    <w:rsid w:val="00C16687"/>
    <w:rsid w:val="00C16E13"/>
    <w:rsid w:val="00C17747"/>
    <w:rsid w:val="00C17987"/>
    <w:rsid w:val="00C20C26"/>
    <w:rsid w:val="00C2277C"/>
    <w:rsid w:val="00C228B1"/>
    <w:rsid w:val="00C22EBF"/>
    <w:rsid w:val="00C23A61"/>
    <w:rsid w:val="00C23A84"/>
    <w:rsid w:val="00C23B1C"/>
    <w:rsid w:val="00C23BDB"/>
    <w:rsid w:val="00C2503E"/>
    <w:rsid w:val="00C268D3"/>
    <w:rsid w:val="00C27660"/>
    <w:rsid w:val="00C27709"/>
    <w:rsid w:val="00C278AD"/>
    <w:rsid w:val="00C30609"/>
    <w:rsid w:val="00C30710"/>
    <w:rsid w:val="00C315CA"/>
    <w:rsid w:val="00C31A81"/>
    <w:rsid w:val="00C31F26"/>
    <w:rsid w:val="00C3251B"/>
    <w:rsid w:val="00C33B65"/>
    <w:rsid w:val="00C34AAC"/>
    <w:rsid w:val="00C34CDB"/>
    <w:rsid w:val="00C359EC"/>
    <w:rsid w:val="00C35C05"/>
    <w:rsid w:val="00C362B3"/>
    <w:rsid w:val="00C36EDE"/>
    <w:rsid w:val="00C37494"/>
    <w:rsid w:val="00C37AC7"/>
    <w:rsid w:val="00C41E7A"/>
    <w:rsid w:val="00C424C2"/>
    <w:rsid w:val="00C432F7"/>
    <w:rsid w:val="00C434CF"/>
    <w:rsid w:val="00C4415C"/>
    <w:rsid w:val="00C450C3"/>
    <w:rsid w:val="00C454FB"/>
    <w:rsid w:val="00C477BC"/>
    <w:rsid w:val="00C4785A"/>
    <w:rsid w:val="00C50963"/>
    <w:rsid w:val="00C522EF"/>
    <w:rsid w:val="00C52BAC"/>
    <w:rsid w:val="00C52C14"/>
    <w:rsid w:val="00C52D75"/>
    <w:rsid w:val="00C53975"/>
    <w:rsid w:val="00C53F07"/>
    <w:rsid w:val="00C54124"/>
    <w:rsid w:val="00C54BC4"/>
    <w:rsid w:val="00C55862"/>
    <w:rsid w:val="00C56355"/>
    <w:rsid w:val="00C56A3A"/>
    <w:rsid w:val="00C56B44"/>
    <w:rsid w:val="00C56EE7"/>
    <w:rsid w:val="00C5739A"/>
    <w:rsid w:val="00C57B2D"/>
    <w:rsid w:val="00C57C42"/>
    <w:rsid w:val="00C60103"/>
    <w:rsid w:val="00C607C0"/>
    <w:rsid w:val="00C60DEE"/>
    <w:rsid w:val="00C619A1"/>
    <w:rsid w:val="00C619C7"/>
    <w:rsid w:val="00C61C68"/>
    <w:rsid w:val="00C62CC4"/>
    <w:rsid w:val="00C62E54"/>
    <w:rsid w:val="00C631F6"/>
    <w:rsid w:val="00C632D0"/>
    <w:rsid w:val="00C635CF"/>
    <w:rsid w:val="00C637F8"/>
    <w:rsid w:val="00C64CEF"/>
    <w:rsid w:val="00C64E58"/>
    <w:rsid w:val="00C64FA1"/>
    <w:rsid w:val="00C650A0"/>
    <w:rsid w:val="00C652DB"/>
    <w:rsid w:val="00C6594E"/>
    <w:rsid w:val="00C66A46"/>
    <w:rsid w:val="00C6733F"/>
    <w:rsid w:val="00C7037B"/>
    <w:rsid w:val="00C71346"/>
    <w:rsid w:val="00C71496"/>
    <w:rsid w:val="00C7149C"/>
    <w:rsid w:val="00C7225B"/>
    <w:rsid w:val="00C732A6"/>
    <w:rsid w:val="00C7394B"/>
    <w:rsid w:val="00C73BC1"/>
    <w:rsid w:val="00C74185"/>
    <w:rsid w:val="00C75EA5"/>
    <w:rsid w:val="00C768D7"/>
    <w:rsid w:val="00C76C08"/>
    <w:rsid w:val="00C76C3B"/>
    <w:rsid w:val="00C77B0E"/>
    <w:rsid w:val="00C77C06"/>
    <w:rsid w:val="00C77C79"/>
    <w:rsid w:val="00C81ACF"/>
    <w:rsid w:val="00C82B91"/>
    <w:rsid w:val="00C834F9"/>
    <w:rsid w:val="00C84CAA"/>
    <w:rsid w:val="00C84D48"/>
    <w:rsid w:val="00C8592B"/>
    <w:rsid w:val="00C86F6C"/>
    <w:rsid w:val="00C86F8D"/>
    <w:rsid w:val="00C871FB"/>
    <w:rsid w:val="00C8784D"/>
    <w:rsid w:val="00C90489"/>
    <w:rsid w:val="00C90982"/>
    <w:rsid w:val="00C90B74"/>
    <w:rsid w:val="00C91154"/>
    <w:rsid w:val="00C9132D"/>
    <w:rsid w:val="00C914A6"/>
    <w:rsid w:val="00C923F8"/>
    <w:rsid w:val="00C92699"/>
    <w:rsid w:val="00C92A16"/>
    <w:rsid w:val="00C92BD4"/>
    <w:rsid w:val="00C92DCA"/>
    <w:rsid w:val="00C93202"/>
    <w:rsid w:val="00C93A47"/>
    <w:rsid w:val="00C95049"/>
    <w:rsid w:val="00C955A7"/>
    <w:rsid w:val="00C959C1"/>
    <w:rsid w:val="00C95EC2"/>
    <w:rsid w:val="00C97612"/>
    <w:rsid w:val="00C97796"/>
    <w:rsid w:val="00C97AF8"/>
    <w:rsid w:val="00CA054B"/>
    <w:rsid w:val="00CA0A60"/>
    <w:rsid w:val="00CA0F2A"/>
    <w:rsid w:val="00CA1773"/>
    <w:rsid w:val="00CA24C1"/>
    <w:rsid w:val="00CA29E1"/>
    <w:rsid w:val="00CA34F1"/>
    <w:rsid w:val="00CA377C"/>
    <w:rsid w:val="00CA3DC2"/>
    <w:rsid w:val="00CA4412"/>
    <w:rsid w:val="00CA4BE4"/>
    <w:rsid w:val="00CA4EAB"/>
    <w:rsid w:val="00CA564F"/>
    <w:rsid w:val="00CA5759"/>
    <w:rsid w:val="00CA6024"/>
    <w:rsid w:val="00CA6B71"/>
    <w:rsid w:val="00CA7DA5"/>
    <w:rsid w:val="00CA7EEC"/>
    <w:rsid w:val="00CB0058"/>
    <w:rsid w:val="00CB0082"/>
    <w:rsid w:val="00CB0595"/>
    <w:rsid w:val="00CB07F9"/>
    <w:rsid w:val="00CB0995"/>
    <w:rsid w:val="00CB0E1B"/>
    <w:rsid w:val="00CB1228"/>
    <w:rsid w:val="00CB17DC"/>
    <w:rsid w:val="00CB1FD9"/>
    <w:rsid w:val="00CB2C46"/>
    <w:rsid w:val="00CB331A"/>
    <w:rsid w:val="00CB33FC"/>
    <w:rsid w:val="00CB38EE"/>
    <w:rsid w:val="00CB3DEE"/>
    <w:rsid w:val="00CB44BC"/>
    <w:rsid w:val="00CB5858"/>
    <w:rsid w:val="00CB6469"/>
    <w:rsid w:val="00CB6663"/>
    <w:rsid w:val="00CB6ABC"/>
    <w:rsid w:val="00CB7EA9"/>
    <w:rsid w:val="00CC12BB"/>
    <w:rsid w:val="00CC1894"/>
    <w:rsid w:val="00CC1A58"/>
    <w:rsid w:val="00CC1A77"/>
    <w:rsid w:val="00CC1DC5"/>
    <w:rsid w:val="00CC30EF"/>
    <w:rsid w:val="00CC30F9"/>
    <w:rsid w:val="00CC3B0C"/>
    <w:rsid w:val="00CC494B"/>
    <w:rsid w:val="00CC5ABE"/>
    <w:rsid w:val="00CC5DCD"/>
    <w:rsid w:val="00CC6D9D"/>
    <w:rsid w:val="00CC79B2"/>
    <w:rsid w:val="00CC7AC3"/>
    <w:rsid w:val="00CD0A90"/>
    <w:rsid w:val="00CD1B8F"/>
    <w:rsid w:val="00CD2333"/>
    <w:rsid w:val="00CD277D"/>
    <w:rsid w:val="00CD2A47"/>
    <w:rsid w:val="00CD3385"/>
    <w:rsid w:val="00CD348C"/>
    <w:rsid w:val="00CD3EDE"/>
    <w:rsid w:val="00CD43D2"/>
    <w:rsid w:val="00CD4CBD"/>
    <w:rsid w:val="00CD5D43"/>
    <w:rsid w:val="00CD5DF9"/>
    <w:rsid w:val="00CD5ED5"/>
    <w:rsid w:val="00CD5FAB"/>
    <w:rsid w:val="00CD63D9"/>
    <w:rsid w:val="00CD6BC9"/>
    <w:rsid w:val="00CD779E"/>
    <w:rsid w:val="00CE117C"/>
    <w:rsid w:val="00CE1B57"/>
    <w:rsid w:val="00CE213D"/>
    <w:rsid w:val="00CE27CD"/>
    <w:rsid w:val="00CE347B"/>
    <w:rsid w:val="00CE3A02"/>
    <w:rsid w:val="00CE3FAC"/>
    <w:rsid w:val="00CE4A34"/>
    <w:rsid w:val="00CE75BD"/>
    <w:rsid w:val="00CE7AB0"/>
    <w:rsid w:val="00CE7ABC"/>
    <w:rsid w:val="00CE7BBF"/>
    <w:rsid w:val="00CF0525"/>
    <w:rsid w:val="00CF0780"/>
    <w:rsid w:val="00CF14DF"/>
    <w:rsid w:val="00CF2324"/>
    <w:rsid w:val="00CF2BD6"/>
    <w:rsid w:val="00CF314C"/>
    <w:rsid w:val="00CF36CE"/>
    <w:rsid w:val="00CF3A28"/>
    <w:rsid w:val="00CF3AB7"/>
    <w:rsid w:val="00CF3E7D"/>
    <w:rsid w:val="00CF4AAC"/>
    <w:rsid w:val="00CF4CC2"/>
    <w:rsid w:val="00CF4F6F"/>
    <w:rsid w:val="00CF63A4"/>
    <w:rsid w:val="00CF6CEF"/>
    <w:rsid w:val="00CF70A9"/>
    <w:rsid w:val="00CF7561"/>
    <w:rsid w:val="00CF7EB2"/>
    <w:rsid w:val="00D00AC1"/>
    <w:rsid w:val="00D00C8F"/>
    <w:rsid w:val="00D0162A"/>
    <w:rsid w:val="00D01D62"/>
    <w:rsid w:val="00D02B19"/>
    <w:rsid w:val="00D05312"/>
    <w:rsid w:val="00D05678"/>
    <w:rsid w:val="00D06EB7"/>
    <w:rsid w:val="00D07A7B"/>
    <w:rsid w:val="00D100CD"/>
    <w:rsid w:val="00D105E0"/>
    <w:rsid w:val="00D1101B"/>
    <w:rsid w:val="00D11AE0"/>
    <w:rsid w:val="00D1278D"/>
    <w:rsid w:val="00D131B4"/>
    <w:rsid w:val="00D13622"/>
    <w:rsid w:val="00D13F04"/>
    <w:rsid w:val="00D144F5"/>
    <w:rsid w:val="00D14E66"/>
    <w:rsid w:val="00D15052"/>
    <w:rsid w:val="00D152CE"/>
    <w:rsid w:val="00D1532A"/>
    <w:rsid w:val="00D154EB"/>
    <w:rsid w:val="00D16282"/>
    <w:rsid w:val="00D16A35"/>
    <w:rsid w:val="00D17B02"/>
    <w:rsid w:val="00D17D67"/>
    <w:rsid w:val="00D17F37"/>
    <w:rsid w:val="00D20091"/>
    <w:rsid w:val="00D2038E"/>
    <w:rsid w:val="00D20681"/>
    <w:rsid w:val="00D21CB9"/>
    <w:rsid w:val="00D23242"/>
    <w:rsid w:val="00D232D7"/>
    <w:rsid w:val="00D23599"/>
    <w:rsid w:val="00D23610"/>
    <w:rsid w:val="00D23B0D"/>
    <w:rsid w:val="00D23BFA"/>
    <w:rsid w:val="00D249B9"/>
    <w:rsid w:val="00D24F2E"/>
    <w:rsid w:val="00D25426"/>
    <w:rsid w:val="00D2543C"/>
    <w:rsid w:val="00D25BD7"/>
    <w:rsid w:val="00D25C1B"/>
    <w:rsid w:val="00D26395"/>
    <w:rsid w:val="00D26431"/>
    <w:rsid w:val="00D265E3"/>
    <w:rsid w:val="00D27294"/>
    <w:rsid w:val="00D27EA3"/>
    <w:rsid w:val="00D303F0"/>
    <w:rsid w:val="00D30707"/>
    <w:rsid w:val="00D31DD6"/>
    <w:rsid w:val="00D32C08"/>
    <w:rsid w:val="00D33959"/>
    <w:rsid w:val="00D35150"/>
    <w:rsid w:val="00D36442"/>
    <w:rsid w:val="00D36CD8"/>
    <w:rsid w:val="00D3722D"/>
    <w:rsid w:val="00D37402"/>
    <w:rsid w:val="00D37866"/>
    <w:rsid w:val="00D40638"/>
    <w:rsid w:val="00D40870"/>
    <w:rsid w:val="00D40910"/>
    <w:rsid w:val="00D40D74"/>
    <w:rsid w:val="00D40E12"/>
    <w:rsid w:val="00D423B2"/>
    <w:rsid w:val="00D42425"/>
    <w:rsid w:val="00D42F15"/>
    <w:rsid w:val="00D43214"/>
    <w:rsid w:val="00D43482"/>
    <w:rsid w:val="00D435FA"/>
    <w:rsid w:val="00D43EB2"/>
    <w:rsid w:val="00D4448D"/>
    <w:rsid w:val="00D44943"/>
    <w:rsid w:val="00D450DE"/>
    <w:rsid w:val="00D4531B"/>
    <w:rsid w:val="00D45375"/>
    <w:rsid w:val="00D454AE"/>
    <w:rsid w:val="00D45727"/>
    <w:rsid w:val="00D46197"/>
    <w:rsid w:val="00D464B9"/>
    <w:rsid w:val="00D465F2"/>
    <w:rsid w:val="00D46A4E"/>
    <w:rsid w:val="00D46AA5"/>
    <w:rsid w:val="00D46BF3"/>
    <w:rsid w:val="00D474DA"/>
    <w:rsid w:val="00D4768D"/>
    <w:rsid w:val="00D4776A"/>
    <w:rsid w:val="00D47B26"/>
    <w:rsid w:val="00D501B1"/>
    <w:rsid w:val="00D508C6"/>
    <w:rsid w:val="00D508FE"/>
    <w:rsid w:val="00D50BA6"/>
    <w:rsid w:val="00D50E9F"/>
    <w:rsid w:val="00D51957"/>
    <w:rsid w:val="00D51B44"/>
    <w:rsid w:val="00D51CED"/>
    <w:rsid w:val="00D51FE3"/>
    <w:rsid w:val="00D52F5F"/>
    <w:rsid w:val="00D537C3"/>
    <w:rsid w:val="00D53F15"/>
    <w:rsid w:val="00D5438A"/>
    <w:rsid w:val="00D545D4"/>
    <w:rsid w:val="00D56738"/>
    <w:rsid w:val="00D5792A"/>
    <w:rsid w:val="00D600C1"/>
    <w:rsid w:val="00D601CF"/>
    <w:rsid w:val="00D621A2"/>
    <w:rsid w:val="00D623D1"/>
    <w:rsid w:val="00D62B60"/>
    <w:rsid w:val="00D641AC"/>
    <w:rsid w:val="00D645C5"/>
    <w:rsid w:val="00D6550C"/>
    <w:rsid w:val="00D65C95"/>
    <w:rsid w:val="00D668C2"/>
    <w:rsid w:val="00D670F5"/>
    <w:rsid w:val="00D67695"/>
    <w:rsid w:val="00D67A47"/>
    <w:rsid w:val="00D67D98"/>
    <w:rsid w:val="00D7099D"/>
    <w:rsid w:val="00D70C6F"/>
    <w:rsid w:val="00D7106B"/>
    <w:rsid w:val="00D71A99"/>
    <w:rsid w:val="00D7272D"/>
    <w:rsid w:val="00D73B36"/>
    <w:rsid w:val="00D74716"/>
    <w:rsid w:val="00D74837"/>
    <w:rsid w:val="00D74880"/>
    <w:rsid w:val="00D748AE"/>
    <w:rsid w:val="00D74E8A"/>
    <w:rsid w:val="00D7558D"/>
    <w:rsid w:val="00D756C3"/>
    <w:rsid w:val="00D7595A"/>
    <w:rsid w:val="00D76157"/>
    <w:rsid w:val="00D76682"/>
    <w:rsid w:val="00D76F8A"/>
    <w:rsid w:val="00D7707C"/>
    <w:rsid w:val="00D7721E"/>
    <w:rsid w:val="00D7794A"/>
    <w:rsid w:val="00D8110A"/>
    <w:rsid w:val="00D8154E"/>
    <w:rsid w:val="00D81602"/>
    <w:rsid w:val="00D81FA5"/>
    <w:rsid w:val="00D8220F"/>
    <w:rsid w:val="00D825DE"/>
    <w:rsid w:val="00D826D5"/>
    <w:rsid w:val="00D8325F"/>
    <w:rsid w:val="00D84644"/>
    <w:rsid w:val="00D8482B"/>
    <w:rsid w:val="00D8492A"/>
    <w:rsid w:val="00D84953"/>
    <w:rsid w:val="00D852F7"/>
    <w:rsid w:val="00D853DA"/>
    <w:rsid w:val="00D85A5E"/>
    <w:rsid w:val="00D86A27"/>
    <w:rsid w:val="00D86DAA"/>
    <w:rsid w:val="00D87D8B"/>
    <w:rsid w:val="00D87EDB"/>
    <w:rsid w:val="00D9095C"/>
    <w:rsid w:val="00D90B3D"/>
    <w:rsid w:val="00D91B17"/>
    <w:rsid w:val="00D92C0F"/>
    <w:rsid w:val="00D92DFA"/>
    <w:rsid w:val="00D93012"/>
    <w:rsid w:val="00D93D8B"/>
    <w:rsid w:val="00D94661"/>
    <w:rsid w:val="00D948E5"/>
    <w:rsid w:val="00D96446"/>
    <w:rsid w:val="00D9704D"/>
    <w:rsid w:val="00DA00F2"/>
    <w:rsid w:val="00DA01CD"/>
    <w:rsid w:val="00DA04F4"/>
    <w:rsid w:val="00DA17D5"/>
    <w:rsid w:val="00DA23F9"/>
    <w:rsid w:val="00DA29B2"/>
    <w:rsid w:val="00DA2CBB"/>
    <w:rsid w:val="00DA2E6E"/>
    <w:rsid w:val="00DA3546"/>
    <w:rsid w:val="00DA3713"/>
    <w:rsid w:val="00DA53C3"/>
    <w:rsid w:val="00DA5712"/>
    <w:rsid w:val="00DA58DE"/>
    <w:rsid w:val="00DA5C62"/>
    <w:rsid w:val="00DA7A5D"/>
    <w:rsid w:val="00DA7E35"/>
    <w:rsid w:val="00DB1318"/>
    <w:rsid w:val="00DB1460"/>
    <w:rsid w:val="00DB28C7"/>
    <w:rsid w:val="00DB2ECF"/>
    <w:rsid w:val="00DB3323"/>
    <w:rsid w:val="00DB40A0"/>
    <w:rsid w:val="00DB44DA"/>
    <w:rsid w:val="00DB4952"/>
    <w:rsid w:val="00DB4FB7"/>
    <w:rsid w:val="00DB504E"/>
    <w:rsid w:val="00DB5A93"/>
    <w:rsid w:val="00DB659B"/>
    <w:rsid w:val="00DB6DFA"/>
    <w:rsid w:val="00DB7192"/>
    <w:rsid w:val="00DB7DF8"/>
    <w:rsid w:val="00DC06A9"/>
    <w:rsid w:val="00DC07D6"/>
    <w:rsid w:val="00DC1518"/>
    <w:rsid w:val="00DC1C53"/>
    <w:rsid w:val="00DC2590"/>
    <w:rsid w:val="00DC3078"/>
    <w:rsid w:val="00DC3C8F"/>
    <w:rsid w:val="00DC473F"/>
    <w:rsid w:val="00DC4B2C"/>
    <w:rsid w:val="00DC5958"/>
    <w:rsid w:val="00DC66B8"/>
    <w:rsid w:val="00DC68EA"/>
    <w:rsid w:val="00DC6CBC"/>
    <w:rsid w:val="00DC73B7"/>
    <w:rsid w:val="00DD12BA"/>
    <w:rsid w:val="00DD1389"/>
    <w:rsid w:val="00DD15C0"/>
    <w:rsid w:val="00DD2288"/>
    <w:rsid w:val="00DD37BA"/>
    <w:rsid w:val="00DD407B"/>
    <w:rsid w:val="00DD4A0B"/>
    <w:rsid w:val="00DD4C06"/>
    <w:rsid w:val="00DD5775"/>
    <w:rsid w:val="00DD57BE"/>
    <w:rsid w:val="00DD60F2"/>
    <w:rsid w:val="00DD6497"/>
    <w:rsid w:val="00DD717F"/>
    <w:rsid w:val="00DD7285"/>
    <w:rsid w:val="00DD743D"/>
    <w:rsid w:val="00DD7F52"/>
    <w:rsid w:val="00DE0530"/>
    <w:rsid w:val="00DE085E"/>
    <w:rsid w:val="00DE1A49"/>
    <w:rsid w:val="00DE1B07"/>
    <w:rsid w:val="00DE2238"/>
    <w:rsid w:val="00DE2F7E"/>
    <w:rsid w:val="00DE3005"/>
    <w:rsid w:val="00DE3914"/>
    <w:rsid w:val="00DE3F93"/>
    <w:rsid w:val="00DE493A"/>
    <w:rsid w:val="00DE57A7"/>
    <w:rsid w:val="00DE5C25"/>
    <w:rsid w:val="00DE767A"/>
    <w:rsid w:val="00DE7776"/>
    <w:rsid w:val="00DE7835"/>
    <w:rsid w:val="00DE7984"/>
    <w:rsid w:val="00DF07D1"/>
    <w:rsid w:val="00DF0E4A"/>
    <w:rsid w:val="00DF0FAB"/>
    <w:rsid w:val="00DF15C7"/>
    <w:rsid w:val="00DF17B1"/>
    <w:rsid w:val="00DF1C54"/>
    <w:rsid w:val="00DF21DF"/>
    <w:rsid w:val="00DF22D9"/>
    <w:rsid w:val="00DF29FF"/>
    <w:rsid w:val="00DF3081"/>
    <w:rsid w:val="00DF3A8B"/>
    <w:rsid w:val="00DF4CFF"/>
    <w:rsid w:val="00DF5F2D"/>
    <w:rsid w:val="00DF6FDA"/>
    <w:rsid w:val="00DF72F8"/>
    <w:rsid w:val="00E007D6"/>
    <w:rsid w:val="00E00BC7"/>
    <w:rsid w:val="00E00C90"/>
    <w:rsid w:val="00E00ED7"/>
    <w:rsid w:val="00E011C4"/>
    <w:rsid w:val="00E01B34"/>
    <w:rsid w:val="00E03228"/>
    <w:rsid w:val="00E03918"/>
    <w:rsid w:val="00E03E8F"/>
    <w:rsid w:val="00E044B9"/>
    <w:rsid w:val="00E04A45"/>
    <w:rsid w:val="00E0631E"/>
    <w:rsid w:val="00E06A86"/>
    <w:rsid w:val="00E06BB8"/>
    <w:rsid w:val="00E075D6"/>
    <w:rsid w:val="00E11CE9"/>
    <w:rsid w:val="00E1244B"/>
    <w:rsid w:val="00E12EE9"/>
    <w:rsid w:val="00E12F24"/>
    <w:rsid w:val="00E13603"/>
    <w:rsid w:val="00E13866"/>
    <w:rsid w:val="00E138C0"/>
    <w:rsid w:val="00E13F50"/>
    <w:rsid w:val="00E15F76"/>
    <w:rsid w:val="00E15FD5"/>
    <w:rsid w:val="00E16106"/>
    <w:rsid w:val="00E2117F"/>
    <w:rsid w:val="00E21C00"/>
    <w:rsid w:val="00E2231E"/>
    <w:rsid w:val="00E23085"/>
    <w:rsid w:val="00E232F0"/>
    <w:rsid w:val="00E2376C"/>
    <w:rsid w:val="00E24DE2"/>
    <w:rsid w:val="00E25C81"/>
    <w:rsid w:val="00E26D22"/>
    <w:rsid w:val="00E26E34"/>
    <w:rsid w:val="00E27322"/>
    <w:rsid w:val="00E2766D"/>
    <w:rsid w:val="00E27C28"/>
    <w:rsid w:val="00E27CB9"/>
    <w:rsid w:val="00E30071"/>
    <w:rsid w:val="00E30205"/>
    <w:rsid w:val="00E30215"/>
    <w:rsid w:val="00E306B8"/>
    <w:rsid w:val="00E3076F"/>
    <w:rsid w:val="00E30845"/>
    <w:rsid w:val="00E31736"/>
    <w:rsid w:val="00E317B0"/>
    <w:rsid w:val="00E318A1"/>
    <w:rsid w:val="00E31AED"/>
    <w:rsid w:val="00E31C6B"/>
    <w:rsid w:val="00E3209D"/>
    <w:rsid w:val="00E3256C"/>
    <w:rsid w:val="00E32D00"/>
    <w:rsid w:val="00E32E04"/>
    <w:rsid w:val="00E33044"/>
    <w:rsid w:val="00E33059"/>
    <w:rsid w:val="00E3369C"/>
    <w:rsid w:val="00E3394F"/>
    <w:rsid w:val="00E34344"/>
    <w:rsid w:val="00E34432"/>
    <w:rsid w:val="00E34AF4"/>
    <w:rsid w:val="00E35A0A"/>
    <w:rsid w:val="00E35E43"/>
    <w:rsid w:val="00E36DD3"/>
    <w:rsid w:val="00E4090E"/>
    <w:rsid w:val="00E4155E"/>
    <w:rsid w:val="00E417FA"/>
    <w:rsid w:val="00E421BF"/>
    <w:rsid w:val="00E42953"/>
    <w:rsid w:val="00E42CF0"/>
    <w:rsid w:val="00E433F8"/>
    <w:rsid w:val="00E43DDA"/>
    <w:rsid w:val="00E443E4"/>
    <w:rsid w:val="00E45233"/>
    <w:rsid w:val="00E4621B"/>
    <w:rsid w:val="00E46472"/>
    <w:rsid w:val="00E4688F"/>
    <w:rsid w:val="00E470D0"/>
    <w:rsid w:val="00E472F3"/>
    <w:rsid w:val="00E47D98"/>
    <w:rsid w:val="00E47EE4"/>
    <w:rsid w:val="00E506BF"/>
    <w:rsid w:val="00E509F8"/>
    <w:rsid w:val="00E51CA3"/>
    <w:rsid w:val="00E51D11"/>
    <w:rsid w:val="00E53215"/>
    <w:rsid w:val="00E53902"/>
    <w:rsid w:val="00E548EF"/>
    <w:rsid w:val="00E54AC2"/>
    <w:rsid w:val="00E551BE"/>
    <w:rsid w:val="00E551C3"/>
    <w:rsid w:val="00E55CB9"/>
    <w:rsid w:val="00E56027"/>
    <w:rsid w:val="00E561A3"/>
    <w:rsid w:val="00E564BA"/>
    <w:rsid w:val="00E569CF"/>
    <w:rsid w:val="00E57B54"/>
    <w:rsid w:val="00E6162A"/>
    <w:rsid w:val="00E61965"/>
    <w:rsid w:val="00E623DB"/>
    <w:rsid w:val="00E62EDE"/>
    <w:rsid w:val="00E63651"/>
    <w:rsid w:val="00E6377C"/>
    <w:rsid w:val="00E63866"/>
    <w:rsid w:val="00E63A5A"/>
    <w:rsid w:val="00E64DD8"/>
    <w:rsid w:val="00E6516E"/>
    <w:rsid w:val="00E6541C"/>
    <w:rsid w:val="00E6590E"/>
    <w:rsid w:val="00E6611B"/>
    <w:rsid w:val="00E66160"/>
    <w:rsid w:val="00E668C9"/>
    <w:rsid w:val="00E66B55"/>
    <w:rsid w:val="00E66C25"/>
    <w:rsid w:val="00E6731A"/>
    <w:rsid w:val="00E6745D"/>
    <w:rsid w:val="00E67675"/>
    <w:rsid w:val="00E67772"/>
    <w:rsid w:val="00E704FE"/>
    <w:rsid w:val="00E706B6"/>
    <w:rsid w:val="00E7131B"/>
    <w:rsid w:val="00E71634"/>
    <w:rsid w:val="00E7190C"/>
    <w:rsid w:val="00E71F72"/>
    <w:rsid w:val="00E72ECC"/>
    <w:rsid w:val="00E73922"/>
    <w:rsid w:val="00E73B0B"/>
    <w:rsid w:val="00E7432F"/>
    <w:rsid w:val="00E75676"/>
    <w:rsid w:val="00E76B78"/>
    <w:rsid w:val="00E77499"/>
    <w:rsid w:val="00E822DD"/>
    <w:rsid w:val="00E824EC"/>
    <w:rsid w:val="00E82946"/>
    <w:rsid w:val="00E82F77"/>
    <w:rsid w:val="00E82FB8"/>
    <w:rsid w:val="00E831D6"/>
    <w:rsid w:val="00E831EB"/>
    <w:rsid w:val="00E83909"/>
    <w:rsid w:val="00E83987"/>
    <w:rsid w:val="00E839D1"/>
    <w:rsid w:val="00E84796"/>
    <w:rsid w:val="00E84961"/>
    <w:rsid w:val="00E8561D"/>
    <w:rsid w:val="00E85B15"/>
    <w:rsid w:val="00E85CD3"/>
    <w:rsid w:val="00E86298"/>
    <w:rsid w:val="00E86402"/>
    <w:rsid w:val="00E86A0D"/>
    <w:rsid w:val="00E86E68"/>
    <w:rsid w:val="00E86F95"/>
    <w:rsid w:val="00E9095A"/>
    <w:rsid w:val="00E9250F"/>
    <w:rsid w:val="00E92A6D"/>
    <w:rsid w:val="00E932F5"/>
    <w:rsid w:val="00E93B5D"/>
    <w:rsid w:val="00E94164"/>
    <w:rsid w:val="00E9498B"/>
    <w:rsid w:val="00E94F39"/>
    <w:rsid w:val="00E9576E"/>
    <w:rsid w:val="00E959E5"/>
    <w:rsid w:val="00E96304"/>
    <w:rsid w:val="00E97143"/>
    <w:rsid w:val="00E97405"/>
    <w:rsid w:val="00E979C2"/>
    <w:rsid w:val="00E97A90"/>
    <w:rsid w:val="00EA0DFB"/>
    <w:rsid w:val="00EA18DF"/>
    <w:rsid w:val="00EA1D39"/>
    <w:rsid w:val="00EA2305"/>
    <w:rsid w:val="00EA2464"/>
    <w:rsid w:val="00EA2722"/>
    <w:rsid w:val="00EA27E2"/>
    <w:rsid w:val="00EA2DD9"/>
    <w:rsid w:val="00EA34A0"/>
    <w:rsid w:val="00EA34B3"/>
    <w:rsid w:val="00EA4078"/>
    <w:rsid w:val="00EA6753"/>
    <w:rsid w:val="00EA6CD3"/>
    <w:rsid w:val="00EA73B5"/>
    <w:rsid w:val="00EA7682"/>
    <w:rsid w:val="00EA7EC6"/>
    <w:rsid w:val="00EB0414"/>
    <w:rsid w:val="00EB09EC"/>
    <w:rsid w:val="00EB0B96"/>
    <w:rsid w:val="00EB0C4B"/>
    <w:rsid w:val="00EB115B"/>
    <w:rsid w:val="00EB1F28"/>
    <w:rsid w:val="00EB20CA"/>
    <w:rsid w:val="00EB2842"/>
    <w:rsid w:val="00EB2858"/>
    <w:rsid w:val="00EB3024"/>
    <w:rsid w:val="00EB331B"/>
    <w:rsid w:val="00EB3459"/>
    <w:rsid w:val="00EB41CD"/>
    <w:rsid w:val="00EB44AE"/>
    <w:rsid w:val="00EB4B9B"/>
    <w:rsid w:val="00EB57DD"/>
    <w:rsid w:val="00EB7569"/>
    <w:rsid w:val="00EC0874"/>
    <w:rsid w:val="00EC0884"/>
    <w:rsid w:val="00EC0F63"/>
    <w:rsid w:val="00EC1270"/>
    <w:rsid w:val="00EC1925"/>
    <w:rsid w:val="00EC2682"/>
    <w:rsid w:val="00EC3087"/>
    <w:rsid w:val="00EC4225"/>
    <w:rsid w:val="00EC4233"/>
    <w:rsid w:val="00EC4D7A"/>
    <w:rsid w:val="00EC4E46"/>
    <w:rsid w:val="00EC4F8B"/>
    <w:rsid w:val="00EC6B92"/>
    <w:rsid w:val="00ED0577"/>
    <w:rsid w:val="00ED15B0"/>
    <w:rsid w:val="00ED1AB8"/>
    <w:rsid w:val="00ED205A"/>
    <w:rsid w:val="00ED43C0"/>
    <w:rsid w:val="00ED501C"/>
    <w:rsid w:val="00ED50F9"/>
    <w:rsid w:val="00ED5581"/>
    <w:rsid w:val="00ED55CC"/>
    <w:rsid w:val="00ED65D3"/>
    <w:rsid w:val="00ED74F5"/>
    <w:rsid w:val="00EE0130"/>
    <w:rsid w:val="00EE02F0"/>
    <w:rsid w:val="00EE08F3"/>
    <w:rsid w:val="00EE1868"/>
    <w:rsid w:val="00EE1887"/>
    <w:rsid w:val="00EE2D1D"/>
    <w:rsid w:val="00EE3866"/>
    <w:rsid w:val="00EE4907"/>
    <w:rsid w:val="00EE5D8F"/>
    <w:rsid w:val="00EE6FCF"/>
    <w:rsid w:val="00EE7632"/>
    <w:rsid w:val="00EE7D11"/>
    <w:rsid w:val="00EF0DBA"/>
    <w:rsid w:val="00EF1ECF"/>
    <w:rsid w:val="00EF2571"/>
    <w:rsid w:val="00EF3363"/>
    <w:rsid w:val="00EF3671"/>
    <w:rsid w:val="00EF3D8C"/>
    <w:rsid w:val="00EF4264"/>
    <w:rsid w:val="00EF47E8"/>
    <w:rsid w:val="00EF4952"/>
    <w:rsid w:val="00EF4CB3"/>
    <w:rsid w:val="00EF4E1A"/>
    <w:rsid w:val="00EF5D66"/>
    <w:rsid w:val="00EF74EA"/>
    <w:rsid w:val="00F00037"/>
    <w:rsid w:val="00F00334"/>
    <w:rsid w:val="00F005F5"/>
    <w:rsid w:val="00F00E2F"/>
    <w:rsid w:val="00F01019"/>
    <w:rsid w:val="00F01A9F"/>
    <w:rsid w:val="00F02512"/>
    <w:rsid w:val="00F03170"/>
    <w:rsid w:val="00F034A5"/>
    <w:rsid w:val="00F034F0"/>
    <w:rsid w:val="00F037D2"/>
    <w:rsid w:val="00F038F9"/>
    <w:rsid w:val="00F0473A"/>
    <w:rsid w:val="00F0564F"/>
    <w:rsid w:val="00F05A51"/>
    <w:rsid w:val="00F05B27"/>
    <w:rsid w:val="00F072BE"/>
    <w:rsid w:val="00F076C8"/>
    <w:rsid w:val="00F07C88"/>
    <w:rsid w:val="00F07D43"/>
    <w:rsid w:val="00F07EB7"/>
    <w:rsid w:val="00F10489"/>
    <w:rsid w:val="00F122F6"/>
    <w:rsid w:val="00F126DA"/>
    <w:rsid w:val="00F12C5B"/>
    <w:rsid w:val="00F134F5"/>
    <w:rsid w:val="00F1551B"/>
    <w:rsid w:val="00F15759"/>
    <w:rsid w:val="00F158C8"/>
    <w:rsid w:val="00F16462"/>
    <w:rsid w:val="00F1791C"/>
    <w:rsid w:val="00F20364"/>
    <w:rsid w:val="00F20752"/>
    <w:rsid w:val="00F20CF3"/>
    <w:rsid w:val="00F21E52"/>
    <w:rsid w:val="00F2205C"/>
    <w:rsid w:val="00F22101"/>
    <w:rsid w:val="00F22D96"/>
    <w:rsid w:val="00F235C9"/>
    <w:rsid w:val="00F25882"/>
    <w:rsid w:val="00F2644E"/>
    <w:rsid w:val="00F26797"/>
    <w:rsid w:val="00F27EAD"/>
    <w:rsid w:val="00F30488"/>
    <w:rsid w:val="00F30CB3"/>
    <w:rsid w:val="00F335C4"/>
    <w:rsid w:val="00F33F59"/>
    <w:rsid w:val="00F340B3"/>
    <w:rsid w:val="00F340B5"/>
    <w:rsid w:val="00F34348"/>
    <w:rsid w:val="00F346E2"/>
    <w:rsid w:val="00F34B34"/>
    <w:rsid w:val="00F34ED2"/>
    <w:rsid w:val="00F36230"/>
    <w:rsid w:val="00F376AA"/>
    <w:rsid w:val="00F37EE5"/>
    <w:rsid w:val="00F413EB"/>
    <w:rsid w:val="00F431CC"/>
    <w:rsid w:val="00F43BB5"/>
    <w:rsid w:val="00F440B8"/>
    <w:rsid w:val="00F44203"/>
    <w:rsid w:val="00F45107"/>
    <w:rsid w:val="00F45A98"/>
    <w:rsid w:val="00F45B43"/>
    <w:rsid w:val="00F4612C"/>
    <w:rsid w:val="00F461EC"/>
    <w:rsid w:val="00F462C1"/>
    <w:rsid w:val="00F46EEB"/>
    <w:rsid w:val="00F47245"/>
    <w:rsid w:val="00F47E66"/>
    <w:rsid w:val="00F50328"/>
    <w:rsid w:val="00F507B9"/>
    <w:rsid w:val="00F5084E"/>
    <w:rsid w:val="00F513A7"/>
    <w:rsid w:val="00F51999"/>
    <w:rsid w:val="00F51F2F"/>
    <w:rsid w:val="00F52336"/>
    <w:rsid w:val="00F52A36"/>
    <w:rsid w:val="00F52A54"/>
    <w:rsid w:val="00F52B35"/>
    <w:rsid w:val="00F53274"/>
    <w:rsid w:val="00F549FC"/>
    <w:rsid w:val="00F54D62"/>
    <w:rsid w:val="00F54D70"/>
    <w:rsid w:val="00F54F33"/>
    <w:rsid w:val="00F55452"/>
    <w:rsid w:val="00F55BF1"/>
    <w:rsid w:val="00F56164"/>
    <w:rsid w:val="00F5684F"/>
    <w:rsid w:val="00F570A5"/>
    <w:rsid w:val="00F570E1"/>
    <w:rsid w:val="00F57B02"/>
    <w:rsid w:val="00F60B1C"/>
    <w:rsid w:val="00F61D24"/>
    <w:rsid w:val="00F62387"/>
    <w:rsid w:val="00F627AE"/>
    <w:rsid w:val="00F62BDD"/>
    <w:rsid w:val="00F62DF3"/>
    <w:rsid w:val="00F63825"/>
    <w:rsid w:val="00F63FD3"/>
    <w:rsid w:val="00F64542"/>
    <w:rsid w:val="00F64762"/>
    <w:rsid w:val="00F64EFA"/>
    <w:rsid w:val="00F65182"/>
    <w:rsid w:val="00F658D3"/>
    <w:rsid w:val="00F65B55"/>
    <w:rsid w:val="00F65DC9"/>
    <w:rsid w:val="00F66524"/>
    <w:rsid w:val="00F66BF9"/>
    <w:rsid w:val="00F671AE"/>
    <w:rsid w:val="00F67AEF"/>
    <w:rsid w:val="00F70570"/>
    <w:rsid w:val="00F70705"/>
    <w:rsid w:val="00F70802"/>
    <w:rsid w:val="00F709B1"/>
    <w:rsid w:val="00F70A5C"/>
    <w:rsid w:val="00F70CC4"/>
    <w:rsid w:val="00F716E8"/>
    <w:rsid w:val="00F71A46"/>
    <w:rsid w:val="00F71AF3"/>
    <w:rsid w:val="00F723B3"/>
    <w:rsid w:val="00F737AD"/>
    <w:rsid w:val="00F73A53"/>
    <w:rsid w:val="00F73D32"/>
    <w:rsid w:val="00F75952"/>
    <w:rsid w:val="00F75BBE"/>
    <w:rsid w:val="00F76917"/>
    <w:rsid w:val="00F76D29"/>
    <w:rsid w:val="00F80559"/>
    <w:rsid w:val="00F806AD"/>
    <w:rsid w:val="00F82544"/>
    <w:rsid w:val="00F82874"/>
    <w:rsid w:val="00F84598"/>
    <w:rsid w:val="00F84CD8"/>
    <w:rsid w:val="00F8593D"/>
    <w:rsid w:val="00F86918"/>
    <w:rsid w:val="00F86C4D"/>
    <w:rsid w:val="00F86F78"/>
    <w:rsid w:val="00F874B1"/>
    <w:rsid w:val="00F8779B"/>
    <w:rsid w:val="00F90B4F"/>
    <w:rsid w:val="00F913DD"/>
    <w:rsid w:val="00F9215D"/>
    <w:rsid w:val="00F922C2"/>
    <w:rsid w:val="00F92880"/>
    <w:rsid w:val="00F92911"/>
    <w:rsid w:val="00F92A2C"/>
    <w:rsid w:val="00F93220"/>
    <w:rsid w:val="00F944EE"/>
    <w:rsid w:val="00F946ED"/>
    <w:rsid w:val="00F949F1"/>
    <w:rsid w:val="00F94A9F"/>
    <w:rsid w:val="00F959A4"/>
    <w:rsid w:val="00F96F5A"/>
    <w:rsid w:val="00F97132"/>
    <w:rsid w:val="00F97549"/>
    <w:rsid w:val="00F97724"/>
    <w:rsid w:val="00FA0402"/>
    <w:rsid w:val="00FA074D"/>
    <w:rsid w:val="00FA0F64"/>
    <w:rsid w:val="00FA20A5"/>
    <w:rsid w:val="00FA2197"/>
    <w:rsid w:val="00FA2E24"/>
    <w:rsid w:val="00FA3FB4"/>
    <w:rsid w:val="00FA4FCF"/>
    <w:rsid w:val="00FA5443"/>
    <w:rsid w:val="00FA59EB"/>
    <w:rsid w:val="00FA5DA1"/>
    <w:rsid w:val="00FA5FC9"/>
    <w:rsid w:val="00FA7286"/>
    <w:rsid w:val="00FA7F71"/>
    <w:rsid w:val="00FB02AB"/>
    <w:rsid w:val="00FB070C"/>
    <w:rsid w:val="00FB0855"/>
    <w:rsid w:val="00FB0C23"/>
    <w:rsid w:val="00FB0D77"/>
    <w:rsid w:val="00FB0DAD"/>
    <w:rsid w:val="00FB0F74"/>
    <w:rsid w:val="00FB1ADB"/>
    <w:rsid w:val="00FB2720"/>
    <w:rsid w:val="00FB2722"/>
    <w:rsid w:val="00FB2896"/>
    <w:rsid w:val="00FB2F58"/>
    <w:rsid w:val="00FB39C9"/>
    <w:rsid w:val="00FB3F9A"/>
    <w:rsid w:val="00FB4520"/>
    <w:rsid w:val="00FB50A7"/>
    <w:rsid w:val="00FB5F29"/>
    <w:rsid w:val="00FB6713"/>
    <w:rsid w:val="00FB6F6B"/>
    <w:rsid w:val="00FB7948"/>
    <w:rsid w:val="00FC1410"/>
    <w:rsid w:val="00FC27E3"/>
    <w:rsid w:val="00FC2F9F"/>
    <w:rsid w:val="00FC343F"/>
    <w:rsid w:val="00FC3F93"/>
    <w:rsid w:val="00FC42C9"/>
    <w:rsid w:val="00FC56EF"/>
    <w:rsid w:val="00FC586A"/>
    <w:rsid w:val="00FC59CB"/>
    <w:rsid w:val="00FC65E9"/>
    <w:rsid w:val="00FC6616"/>
    <w:rsid w:val="00FC7294"/>
    <w:rsid w:val="00FC7F1C"/>
    <w:rsid w:val="00FD00AF"/>
    <w:rsid w:val="00FD01F7"/>
    <w:rsid w:val="00FD028B"/>
    <w:rsid w:val="00FD05C5"/>
    <w:rsid w:val="00FD1423"/>
    <w:rsid w:val="00FD1F19"/>
    <w:rsid w:val="00FD2386"/>
    <w:rsid w:val="00FD26EA"/>
    <w:rsid w:val="00FD31FB"/>
    <w:rsid w:val="00FD406D"/>
    <w:rsid w:val="00FD483B"/>
    <w:rsid w:val="00FD4AC1"/>
    <w:rsid w:val="00FD5242"/>
    <w:rsid w:val="00FD53C6"/>
    <w:rsid w:val="00FD5E01"/>
    <w:rsid w:val="00FD64B4"/>
    <w:rsid w:val="00FD6D7C"/>
    <w:rsid w:val="00FD6FFA"/>
    <w:rsid w:val="00FD7711"/>
    <w:rsid w:val="00FE0B2C"/>
    <w:rsid w:val="00FE0B87"/>
    <w:rsid w:val="00FE1968"/>
    <w:rsid w:val="00FE1A5A"/>
    <w:rsid w:val="00FE2495"/>
    <w:rsid w:val="00FE2F04"/>
    <w:rsid w:val="00FE45B0"/>
    <w:rsid w:val="00FE4757"/>
    <w:rsid w:val="00FE4B18"/>
    <w:rsid w:val="00FE5A3B"/>
    <w:rsid w:val="00FE5AEA"/>
    <w:rsid w:val="00FE5EE9"/>
    <w:rsid w:val="00FE753B"/>
    <w:rsid w:val="00FE79D2"/>
    <w:rsid w:val="00FF0DB3"/>
    <w:rsid w:val="00FF12DD"/>
    <w:rsid w:val="00FF16A2"/>
    <w:rsid w:val="00FF239C"/>
    <w:rsid w:val="00FF2AE7"/>
    <w:rsid w:val="00FF2F82"/>
    <w:rsid w:val="00FF4DD3"/>
    <w:rsid w:val="00FF600E"/>
    <w:rsid w:val="00FF6772"/>
    <w:rsid w:val="00FF7ADA"/>
    <w:rsid w:val="056D38DC"/>
    <w:rsid w:val="12F845E3"/>
    <w:rsid w:val="143A35BF"/>
    <w:rsid w:val="14E140DF"/>
    <w:rsid w:val="1AA2133A"/>
    <w:rsid w:val="1D4E4EE2"/>
    <w:rsid w:val="1F934A3E"/>
    <w:rsid w:val="1FA64343"/>
    <w:rsid w:val="23657732"/>
    <w:rsid w:val="2B387366"/>
    <w:rsid w:val="30546AAD"/>
    <w:rsid w:val="30C80642"/>
    <w:rsid w:val="30CB0731"/>
    <w:rsid w:val="350253AB"/>
    <w:rsid w:val="461B0454"/>
    <w:rsid w:val="4A9972F5"/>
    <w:rsid w:val="4D964B43"/>
    <w:rsid w:val="4DF85DBD"/>
    <w:rsid w:val="59AE5C49"/>
    <w:rsid w:val="5C7077C2"/>
    <w:rsid w:val="5FED3500"/>
    <w:rsid w:val="5FF10DA6"/>
    <w:rsid w:val="633D5416"/>
    <w:rsid w:val="6A670AC4"/>
    <w:rsid w:val="6CCB2F86"/>
    <w:rsid w:val="6E4A3682"/>
    <w:rsid w:val="7036705F"/>
    <w:rsid w:val="76F510DB"/>
    <w:rsid w:val="78791EEA"/>
    <w:rsid w:val="7DEF67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1"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qFormat="1" w:unhideWhenUsed="0" w:uiPriority="0" w:semiHidden="0" w:name="Body Text First Indent 2"/>
    <w:lsdException w:uiPriority="0" w:name="Note Heading"/>
    <w:lsdException w:uiPriority="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Arial"/>
      <w:kern w:val="2"/>
      <w:sz w:val="21"/>
      <w:szCs w:val="24"/>
      <w:lang w:val="en-US" w:eastAsia="zh-CN" w:bidi="ar-SA"/>
    </w:rPr>
  </w:style>
  <w:style w:type="paragraph" w:styleId="3">
    <w:name w:val="heading 1"/>
    <w:basedOn w:val="1"/>
    <w:next w:val="1"/>
    <w:link w:val="54"/>
    <w:qFormat/>
    <w:uiPriority w:val="0"/>
    <w:pPr>
      <w:keepNext/>
      <w:keepLines/>
      <w:spacing w:before="340" w:after="330" w:line="578" w:lineRule="auto"/>
      <w:outlineLvl w:val="0"/>
    </w:pPr>
    <w:rPr>
      <w:rFonts w:eastAsia="Century Gothic"/>
      <w:b/>
      <w:bCs/>
      <w:kern w:val="44"/>
      <w:sz w:val="44"/>
      <w:szCs w:val="44"/>
    </w:rPr>
  </w:style>
  <w:style w:type="paragraph" w:styleId="4">
    <w:name w:val="heading 2"/>
    <w:basedOn w:val="1"/>
    <w:next w:val="1"/>
    <w:link w:val="55"/>
    <w:qFormat/>
    <w:uiPriority w:val="0"/>
    <w:pPr>
      <w:keepNext/>
      <w:keepLines/>
      <w:adjustRightInd w:val="0"/>
      <w:spacing w:before="260" w:after="260" w:line="415" w:lineRule="auto"/>
      <w:jc w:val="left"/>
      <w:outlineLvl w:val="1"/>
    </w:pPr>
    <w:rPr>
      <w:rFonts w:ascii="黑体" w:hAnsi="黑体" w:eastAsia="楷体"/>
      <w:b/>
      <w:bCs/>
      <w:sz w:val="32"/>
      <w:szCs w:val="32"/>
    </w:rPr>
  </w:style>
  <w:style w:type="paragraph" w:styleId="5">
    <w:name w:val="heading 3"/>
    <w:basedOn w:val="1"/>
    <w:next w:val="1"/>
    <w:link w:val="56"/>
    <w:qFormat/>
    <w:uiPriority w:val="0"/>
    <w:pPr>
      <w:keepNext/>
      <w:keepLines/>
      <w:spacing w:before="260" w:after="260" w:line="416" w:lineRule="auto"/>
      <w:outlineLvl w:val="2"/>
    </w:pPr>
    <w:rPr>
      <w:b/>
      <w:bCs/>
      <w:sz w:val="32"/>
      <w:szCs w:val="32"/>
    </w:rPr>
  </w:style>
  <w:style w:type="paragraph" w:styleId="6">
    <w:name w:val="heading 4"/>
    <w:basedOn w:val="1"/>
    <w:next w:val="7"/>
    <w:link w:val="58"/>
    <w:qFormat/>
    <w:uiPriority w:val="0"/>
    <w:pPr>
      <w:keepNext/>
      <w:widowControl/>
      <w:jc w:val="center"/>
      <w:outlineLvl w:val="3"/>
    </w:pPr>
    <w:rPr>
      <w:rFonts w:ascii="MS Sans Serif" w:hAnsi="仿宋_GB2312" w:eastAsia="MS Sans Serif"/>
      <w:snapToGrid w:val="0"/>
      <w:kern w:val="0"/>
      <w:sz w:val="24"/>
      <w:szCs w:val="20"/>
    </w:rPr>
  </w:style>
  <w:style w:type="paragraph" w:styleId="8">
    <w:name w:val="heading 5"/>
    <w:basedOn w:val="1"/>
    <w:next w:val="1"/>
    <w:link w:val="59"/>
    <w:qFormat/>
    <w:uiPriority w:val="0"/>
    <w:pPr>
      <w:widowControl/>
      <w:spacing w:before="240" w:after="60"/>
      <w:jc w:val="left"/>
      <w:outlineLvl w:val="4"/>
    </w:pPr>
    <w:rPr>
      <w:rFonts w:ascii="MS Sans Serif" w:eastAsia="MS Sans Serif"/>
      <w:kern w:val="0"/>
      <w:sz w:val="24"/>
      <w:szCs w:val="20"/>
    </w:rPr>
  </w:style>
  <w:style w:type="paragraph" w:styleId="9">
    <w:name w:val="heading 6"/>
    <w:basedOn w:val="1"/>
    <w:next w:val="7"/>
    <w:link w:val="60"/>
    <w:qFormat/>
    <w:uiPriority w:val="0"/>
    <w:pPr>
      <w:keepNext/>
      <w:keepLines/>
      <w:spacing w:before="240" w:after="64" w:line="320" w:lineRule="auto"/>
      <w:outlineLvl w:val="5"/>
    </w:pPr>
    <w:rPr>
      <w:rFonts w:ascii="黑体" w:hAnsi="黑体" w:eastAsia="楷体"/>
      <w:b/>
      <w:sz w:val="24"/>
      <w:szCs w:val="20"/>
    </w:rPr>
  </w:style>
  <w:style w:type="paragraph" w:styleId="10">
    <w:name w:val="heading 7"/>
    <w:basedOn w:val="1"/>
    <w:next w:val="7"/>
    <w:link w:val="61"/>
    <w:qFormat/>
    <w:uiPriority w:val="0"/>
    <w:pPr>
      <w:keepNext/>
      <w:keepLines/>
      <w:spacing w:before="240" w:after="64" w:line="320" w:lineRule="auto"/>
      <w:outlineLvl w:val="6"/>
    </w:pPr>
    <w:rPr>
      <w:b/>
      <w:sz w:val="24"/>
      <w:szCs w:val="20"/>
    </w:rPr>
  </w:style>
  <w:style w:type="paragraph" w:styleId="11">
    <w:name w:val="heading 8"/>
    <w:basedOn w:val="1"/>
    <w:next w:val="7"/>
    <w:link w:val="62"/>
    <w:qFormat/>
    <w:uiPriority w:val="9"/>
    <w:pPr>
      <w:keepNext/>
      <w:keepLines/>
      <w:spacing w:before="240" w:after="64" w:line="320" w:lineRule="auto"/>
      <w:outlineLvl w:val="7"/>
    </w:pPr>
    <w:rPr>
      <w:rFonts w:ascii="黑体" w:hAnsi="黑体" w:eastAsia="楷体"/>
      <w:sz w:val="24"/>
      <w:szCs w:val="20"/>
    </w:rPr>
  </w:style>
  <w:style w:type="paragraph" w:styleId="12">
    <w:name w:val="heading 9"/>
    <w:basedOn w:val="1"/>
    <w:next w:val="7"/>
    <w:link w:val="63"/>
    <w:qFormat/>
    <w:uiPriority w:val="9"/>
    <w:pPr>
      <w:keepNext/>
      <w:keepLines/>
      <w:spacing w:before="240" w:after="64" w:line="320" w:lineRule="auto"/>
      <w:outlineLvl w:val="8"/>
    </w:pPr>
    <w:rPr>
      <w:rFonts w:ascii="黑体" w:hAnsi="黑体" w:eastAsia="楷体"/>
      <w:szCs w:val="20"/>
    </w:rPr>
  </w:style>
  <w:style w:type="character" w:default="1" w:styleId="48">
    <w:name w:val="Default Paragraph Font"/>
    <w:semiHidden/>
    <w:unhideWhenUsed/>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楷体" w:hAnsi="Arial" w:eastAsia="楷体" w:cs="Arial"/>
      <w:color w:val="000000"/>
      <w:sz w:val="24"/>
      <w:szCs w:val="24"/>
      <w:lang w:val="en-US" w:eastAsia="zh-CN" w:bidi="ar-SA"/>
    </w:rPr>
  </w:style>
  <w:style w:type="paragraph" w:styleId="7">
    <w:name w:val="Normal Indent"/>
    <w:basedOn w:val="1"/>
    <w:link w:val="57"/>
    <w:qFormat/>
    <w:uiPriority w:val="0"/>
    <w:pPr>
      <w:widowControl/>
      <w:ind w:firstLine="420"/>
      <w:jc w:val="left"/>
    </w:pPr>
    <w:rPr>
      <w:kern w:val="0"/>
      <w:sz w:val="20"/>
      <w:szCs w:val="20"/>
    </w:rPr>
  </w:style>
  <w:style w:type="paragraph" w:styleId="13">
    <w:name w:val="toc 7"/>
    <w:basedOn w:val="1"/>
    <w:next w:val="1"/>
    <w:semiHidden/>
    <w:qFormat/>
    <w:uiPriority w:val="0"/>
    <w:pPr>
      <w:ind w:left="1260"/>
      <w:jc w:val="left"/>
    </w:pPr>
    <w:rPr>
      <w:sz w:val="18"/>
      <w:szCs w:val="18"/>
    </w:rPr>
  </w:style>
  <w:style w:type="paragraph" w:styleId="14">
    <w:name w:val="List Number"/>
    <w:basedOn w:val="1"/>
    <w:qFormat/>
    <w:uiPriority w:val="0"/>
    <w:pPr>
      <w:widowControl/>
      <w:tabs>
        <w:tab w:val="left" w:pos="420"/>
        <w:tab w:val="left" w:pos="454"/>
      </w:tabs>
      <w:spacing w:afterLines="50"/>
      <w:ind w:left="454" w:hanging="284"/>
      <w:jc w:val="left"/>
    </w:pPr>
    <w:rPr>
      <w:kern w:val="0"/>
      <w:sz w:val="24"/>
      <w:szCs w:val="20"/>
    </w:rPr>
  </w:style>
  <w:style w:type="paragraph" w:styleId="15">
    <w:name w:val="caption"/>
    <w:basedOn w:val="1"/>
    <w:next w:val="1"/>
    <w:qFormat/>
    <w:uiPriority w:val="0"/>
    <w:rPr>
      <w:rFonts w:ascii="黑体" w:hAnsi="黑体" w:eastAsia="楷体" w:cs="黑体"/>
      <w:sz w:val="20"/>
      <w:szCs w:val="20"/>
    </w:rPr>
  </w:style>
  <w:style w:type="paragraph" w:styleId="16">
    <w:name w:val="Document Map"/>
    <w:basedOn w:val="1"/>
    <w:link w:val="64"/>
    <w:semiHidden/>
    <w:qFormat/>
    <w:uiPriority w:val="99"/>
    <w:pPr>
      <w:shd w:val="clear" w:color="auto" w:fill="000080"/>
    </w:pPr>
  </w:style>
  <w:style w:type="paragraph" w:styleId="17">
    <w:name w:val="annotation text"/>
    <w:basedOn w:val="1"/>
    <w:link w:val="65"/>
    <w:qFormat/>
    <w:uiPriority w:val="0"/>
    <w:pPr>
      <w:jc w:val="left"/>
    </w:pPr>
  </w:style>
  <w:style w:type="paragraph" w:styleId="18">
    <w:name w:val="Body Text 3"/>
    <w:basedOn w:val="1"/>
    <w:link w:val="66"/>
    <w:qFormat/>
    <w:uiPriority w:val="0"/>
    <w:pPr>
      <w:spacing w:after="120"/>
    </w:pPr>
    <w:rPr>
      <w:rFonts w:ascii="Times New Roman" w:hAnsi="Times New Roman" w:cs="Times New Roman"/>
      <w:sz w:val="16"/>
      <w:szCs w:val="16"/>
    </w:rPr>
  </w:style>
  <w:style w:type="paragraph" w:styleId="19">
    <w:name w:val="Body Text"/>
    <w:basedOn w:val="1"/>
    <w:link w:val="67"/>
    <w:qFormat/>
    <w:uiPriority w:val="1"/>
    <w:pPr>
      <w:spacing w:after="120"/>
    </w:pPr>
  </w:style>
  <w:style w:type="paragraph" w:styleId="20">
    <w:name w:val="Body Text Indent"/>
    <w:basedOn w:val="1"/>
    <w:link w:val="68"/>
    <w:qFormat/>
    <w:uiPriority w:val="99"/>
    <w:pPr>
      <w:adjustRightInd w:val="0"/>
      <w:spacing w:line="360" w:lineRule="auto"/>
      <w:ind w:firstLine="490"/>
      <w:jc w:val="left"/>
    </w:pPr>
    <w:rPr>
      <w:rFonts w:ascii="Century Gothic" w:hAnsi="Century Gothic" w:eastAsia="Century Gothic"/>
      <w:sz w:val="24"/>
      <w:szCs w:val="20"/>
    </w:rPr>
  </w:style>
  <w:style w:type="paragraph" w:styleId="21">
    <w:name w:val="List Number 3"/>
    <w:basedOn w:val="1"/>
    <w:qFormat/>
    <w:uiPriority w:val="0"/>
    <w:pPr>
      <w:widowControl/>
      <w:tabs>
        <w:tab w:val="left" w:pos="482"/>
        <w:tab w:val="left" w:pos="1157"/>
      </w:tabs>
      <w:spacing w:afterLines="50"/>
      <w:ind w:left="482" w:hanging="340"/>
      <w:jc w:val="left"/>
    </w:pPr>
    <w:rPr>
      <w:kern w:val="0"/>
      <w:sz w:val="24"/>
      <w:szCs w:val="20"/>
    </w:rPr>
  </w:style>
  <w:style w:type="paragraph" w:styleId="22">
    <w:name w:val="Block Text"/>
    <w:basedOn w:val="1"/>
    <w:qFormat/>
    <w:uiPriority w:val="0"/>
    <w:pPr>
      <w:adjustRightInd w:val="0"/>
      <w:snapToGrid w:val="0"/>
      <w:spacing w:line="300" w:lineRule="auto"/>
      <w:ind w:left="958" w:right="-120" w:rightChars="-120"/>
      <w:jc w:val="left"/>
    </w:pPr>
    <w:rPr>
      <w:rFonts w:hint="eastAsia" w:ascii="Century Gothic" w:hAnsi="Century Gothic"/>
      <w:sz w:val="28"/>
      <w:szCs w:val="20"/>
    </w:rPr>
  </w:style>
  <w:style w:type="paragraph" w:styleId="23">
    <w:name w:val="toc 5"/>
    <w:basedOn w:val="1"/>
    <w:next w:val="1"/>
    <w:semiHidden/>
    <w:qFormat/>
    <w:uiPriority w:val="0"/>
    <w:pPr>
      <w:ind w:left="840"/>
      <w:jc w:val="left"/>
    </w:pPr>
    <w:rPr>
      <w:sz w:val="18"/>
      <w:szCs w:val="18"/>
    </w:rPr>
  </w:style>
  <w:style w:type="paragraph" w:styleId="24">
    <w:name w:val="toc 3"/>
    <w:basedOn w:val="1"/>
    <w:next w:val="1"/>
    <w:qFormat/>
    <w:uiPriority w:val="39"/>
    <w:pPr>
      <w:ind w:left="420"/>
      <w:jc w:val="left"/>
    </w:pPr>
    <w:rPr>
      <w:i/>
      <w:iCs/>
      <w:sz w:val="20"/>
      <w:szCs w:val="20"/>
    </w:rPr>
  </w:style>
  <w:style w:type="paragraph" w:styleId="25">
    <w:name w:val="Plain Text"/>
    <w:basedOn w:val="1"/>
    <w:link w:val="69"/>
    <w:autoRedefine/>
    <w:qFormat/>
    <w:uiPriority w:val="0"/>
    <w:rPr>
      <w:rFonts w:ascii="Century Gothic" w:hAnsi="楷体_GB2312" w:eastAsia="Century Gothic" w:cs="楷体_GB2312"/>
      <w:szCs w:val="21"/>
    </w:rPr>
  </w:style>
  <w:style w:type="paragraph" w:styleId="26">
    <w:name w:val="toc 8"/>
    <w:basedOn w:val="1"/>
    <w:next w:val="1"/>
    <w:autoRedefine/>
    <w:semiHidden/>
    <w:qFormat/>
    <w:uiPriority w:val="0"/>
    <w:pPr>
      <w:ind w:left="1470"/>
      <w:jc w:val="left"/>
    </w:pPr>
    <w:rPr>
      <w:sz w:val="18"/>
      <w:szCs w:val="18"/>
    </w:rPr>
  </w:style>
  <w:style w:type="paragraph" w:styleId="27">
    <w:name w:val="Date"/>
    <w:basedOn w:val="1"/>
    <w:next w:val="1"/>
    <w:link w:val="70"/>
    <w:autoRedefine/>
    <w:qFormat/>
    <w:uiPriority w:val="99"/>
    <w:pPr>
      <w:ind w:left="100" w:leftChars="2500"/>
    </w:pPr>
  </w:style>
  <w:style w:type="paragraph" w:styleId="28">
    <w:name w:val="Body Text Indent 2"/>
    <w:basedOn w:val="1"/>
    <w:link w:val="71"/>
    <w:qFormat/>
    <w:uiPriority w:val="99"/>
    <w:pPr>
      <w:adjustRightInd w:val="0"/>
      <w:spacing w:line="360" w:lineRule="auto"/>
      <w:ind w:firstLine="504" w:firstLineChars="210"/>
      <w:jc w:val="left"/>
    </w:pPr>
    <w:rPr>
      <w:rFonts w:hint="eastAsia" w:ascii="Century Gothic" w:hAnsi="Century Gothic"/>
      <w:sz w:val="24"/>
      <w:szCs w:val="20"/>
    </w:rPr>
  </w:style>
  <w:style w:type="paragraph" w:styleId="29">
    <w:name w:val="Balloon Text"/>
    <w:basedOn w:val="1"/>
    <w:link w:val="72"/>
    <w:qFormat/>
    <w:uiPriority w:val="99"/>
    <w:rPr>
      <w:sz w:val="18"/>
      <w:szCs w:val="18"/>
    </w:rPr>
  </w:style>
  <w:style w:type="paragraph" w:styleId="30">
    <w:name w:val="footer"/>
    <w:basedOn w:val="1"/>
    <w:link w:val="73"/>
    <w:qFormat/>
    <w:uiPriority w:val="99"/>
    <w:pPr>
      <w:tabs>
        <w:tab w:val="center" w:pos="4153"/>
        <w:tab w:val="right" w:pos="8306"/>
      </w:tabs>
      <w:adjustRightInd w:val="0"/>
      <w:jc w:val="left"/>
    </w:pPr>
    <w:rPr>
      <w:rFonts w:eastAsia="Century Gothic"/>
      <w:sz w:val="18"/>
      <w:szCs w:val="20"/>
    </w:rPr>
  </w:style>
  <w:style w:type="paragraph" w:styleId="31">
    <w:name w:val="header"/>
    <w:basedOn w:val="1"/>
    <w:link w:val="74"/>
    <w:autoRedefine/>
    <w:qFormat/>
    <w:uiPriority w:val="99"/>
    <w:pPr>
      <w:pBdr>
        <w:bottom w:val="single" w:color="auto" w:sz="6" w:space="1"/>
      </w:pBdr>
      <w:tabs>
        <w:tab w:val="center" w:pos="4153"/>
        <w:tab w:val="right" w:pos="8306"/>
      </w:tabs>
      <w:adjustRightInd w:val="0"/>
      <w:jc w:val="center"/>
    </w:pPr>
    <w:rPr>
      <w:sz w:val="18"/>
      <w:szCs w:val="20"/>
    </w:rPr>
  </w:style>
  <w:style w:type="paragraph" w:styleId="32">
    <w:name w:val="toc 1"/>
    <w:basedOn w:val="1"/>
    <w:next w:val="1"/>
    <w:autoRedefine/>
    <w:qFormat/>
    <w:uiPriority w:val="39"/>
    <w:pPr>
      <w:tabs>
        <w:tab w:val="right" w:leader="dot" w:pos="8720"/>
      </w:tabs>
      <w:spacing w:before="120" w:after="120"/>
      <w:jc w:val="left"/>
    </w:pPr>
    <w:rPr>
      <w:rFonts w:ascii="Century Gothic" w:hAnsi="Century Gothic"/>
      <w:bCs/>
      <w:caps/>
      <w:sz w:val="20"/>
      <w:szCs w:val="20"/>
    </w:rPr>
  </w:style>
  <w:style w:type="paragraph" w:styleId="33">
    <w:name w:val="toc 4"/>
    <w:basedOn w:val="1"/>
    <w:next w:val="1"/>
    <w:autoRedefine/>
    <w:semiHidden/>
    <w:qFormat/>
    <w:uiPriority w:val="0"/>
    <w:pPr>
      <w:ind w:left="630"/>
      <w:jc w:val="left"/>
    </w:pPr>
    <w:rPr>
      <w:sz w:val="18"/>
      <w:szCs w:val="18"/>
    </w:rPr>
  </w:style>
  <w:style w:type="paragraph" w:styleId="34">
    <w:name w:val="List"/>
    <w:basedOn w:val="1"/>
    <w:qFormat/>
    <w:uiPriority w:val="0"/>
    <w:pPr>
      <w:ind w:left="200" w:hanging="200" w:hangingChars="200"/>
      <w:contextualSpacing/>
    </w:pPr>
    <w:rPr>
      <w:rFonts w:ascii="Times New Roman" w:hAnsi="Times New Roman" w:cs="Times New Roman"/>
    </w:rPr>
  </w:style>
  <w:style w:type="paragraph" w:styleId="35">
    <w:name w:val="toc 6"/>
    <w:basedOn w:val="1"/>
    <w:next w:val="1"/>
    <w:semiHidden/>
    <w:qFormat/>
    <w:uiPriority w:val="0"/>
    <w:pPr>
      <w:ind w:left="1050"/>
      <w:jc w:val="left"/>
    </w:pPr>
    <w:rPr>
      <w:sz w:val="18"/>
      <w:szCs w:val="18"/>
    </w:rPr>
  </w:style>
  <w:style w:type="paragraph" w:styleId="36">
    <w:name w:val="List 5"/>
    <w:basedOn w:val="1"/>
    <w:autoRedefine/>
    <w:qFormat/>
    <w:uiPriority w:val="0"/>
    <w:pPr>
      <w:ind w:left="100" w:leftChars="800" w:hanging="200" w:hangingChars="200"/>
    </w:pPr>
    <w:rPr>
      <w:szCs w:val="20"/>
    </w:rPr>
  </w:style>
  <w:style w:type="paragraph" w:styleId="37">
    <w:name w:val="Body Text Indent 3"/>
    <w:basedOn w:val="1"/>
    <w:link w:val="75"/>
    <w:autoRedefine/>
    <w:qFormat/>
    <w:uiPriority w:val="0"/>
    <w:pPr>
      <w:spacing w:after="120"/>
      <w:ind w:left="420" w:leftChars="200"/>
    </w:pPr>
    <w:rPr>
      <w:sz w:val="16"/>
      <w:szCs w:val="16"/>
    </w:rPr>
  </w:style>
  <w:style w:type="paragraph" w:styleId="38">
    <w:name w:val="toc 2"/>
    <w:basedOn w:val="1"/>
    <w:next w:val="1"/>
    <w:autoRedefine/>
    <w:qFormat/>
    <w:uiPriority w:val="39"/>
    <w:pPr>
      <w:tabs>
        <w:tab w:val="right" w:leader="dot" w:pos="8720"/>
      </w:tabs>
      <w:adjustRightInd w:val="0"/>
      <w:snapToGrid w:val="0"/>
      <w:jc w:val="left"/>
    </w:pPr>
    <w:rPr>
      <w:rFonts w:ascii="宋体" w:hAnsi="宋体"/>
      <w:bCs/>
      <w:smallCaps/>
      <w:snapToGrid w:val="0"/>
      <w:kern w:val="0"/>
      <w:sz w:val="20"/>
      <w:szCs w:val="20"/>
    </w:rPr>
  </w:style>
  <w:style w:type="paragraph" w:styleId="39">
    <w:name w:val="toc 9"/>
    <w:basedOn w:val="1"/>
    <w:next w:val="1"/>
    <w:semiHidden/>
    <w:qFormat/>
    <w:uiPriority w:val="0"/>
    <w:pPr>
      <w:ind w:left="1680"/>
      <w:jc w:val="left"/>
    </w:pPr>
    <w:rPr>
      <w:sz w:val="18"/>
      <w:szCs w:val="18"/>
    </w:rPr>
  </w:style>
  <w:style w:type="paragraph" w:styleId="40">
    <w:name w:val="HTML Preformatted"/>
    <w:basedOn w:val="1"/>
    <w:link w:val="76"/>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Times New Roman"/>
      <w:kern w:val="0"/>
      <w:sz w:val="24"/>
    </w:rPr>
  </w:style>
  <w:style w:type="paragraph" w:styleId="41">
    <w:name w:val="Normal (Web)"/>
    <w:basedOn w:val="1"/>
    <w:autoRedefine/>
    <w:qFormat/>
    <w:uiPriority w:val="99"/>
    <w:pPr>
      <w:widowControl/>
      <w:shd w:val="clear" w:color="auto" w:fill="FFFFFF"/>
      <w:spacing w:before="100" w:beforeAutospacing="1" w:after="100" w:afterAutospacing="1"/>
      <w:jc w:val="left"/>
    </w:pPr>
    <w:rPr>
      <w:rFonts w:ascii="Century Gothic" w:hAnsi="Century Gothic"/>
      <w:kern w:val="0"/>
      <w:sz w:val="18"/>
      <w:szCs w:val="18"/>
    </w:rPr>
  </w:style>
  <w:style w:type="paragraph" w:styleId="42">
    <w:name w:val="Title"/>
    <w:basedOn w:val="1"/>
    <w:link w:val="77"/>
    <w:autoRedefine/>
    <w:qFormat/>
    <w:uiPriority w:val="0"/>
    <w:pPr>
      <w:tabs>
        <w:tab w:val="left" w:pos="1200"/>
      </w:tabs>
      <w:spacing w:afterLines="200"/>
      <w:ind w:left="1440" w:hanging="720"/>
      <w:jc w:val="center"/>
    </w:pPr>
    <w:rPr>
      <w:b/>
      <w:bCs/>
      <w:spacing w:val="60"/>
      <w:sz w:val="32"/>
    </w:rPr>
  </w:style>
  <w:style w:type="paragraph" w:styleId="43">
    <w:name w:val="annotation subject"/>
    <w:basedOn w:val="17"/>
    <w:next w:val="17"/>
    <w:link w:val="78"/>
    <w:semiHidden/>
    <w:qFormat/>
    <w:uiPriority w:val="0"/>
    <w:rPr>
      <w:b/>
      <w:bCs/>
    </w:rPr>
  </w:style>
  <w:style w:type="paragraph" w:styleId="44">
    <w:name w:val="Body Text First Indent 2"/>
    <w:basedOn w:val="20"/>
    <w:link w:val="221"/>
    <w:qFormat/>
    <w:uiPriority w:val="0"/>
    <w:pPr>
      <w:autoSpaceDE w:val="0"/>
      <w:autoSpaceDN w:val="0"/>
      <w:adjustRightInd/>
      <w:spacing w:after="120" w:line="240" w:lineRule="auto"/>
      <w:ind w:left="420" w:leftChars="200" w:firstLine="420" w:firstLineChars="200"/>
    </w:pPr>
    <w:rPr>
      <w:rFonts w:ascii="宋体" w:hAnsi="宋体" w:eastAsia="宋体" w:cs="宋体"/>
      <w:kern w:val="0"/>
      <w:szCs w:val="24"/>
      <w:lang w:val="zh-CN" w:bidi="zh-CN"/>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7">
    <w:name w:val="Table Elegant"/>
    <w:basedOn w:val="45"/>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il"/>
          <w:tr2bl w:val="nil"/>
        </w:tcBorders>
      </w:tcPr>
    </w:tblStylePr>
  </w:style>
  <w:style w:type="character" w:styleId="49">
    <w:name w:val="Strong"/>
    <w:autoRedefine/>
    <w:qFormat/>
    <w:uiPriority w:val="22"/>
    <w:rPr>
      <w:b/>
    </w:rPr>
  </w:style>
  <w:style w:type="character" w:styleId="50">
    <w:name w:val="page number"/>
    <w:basedOn w:val="48"/>
    <w:autoRedefine/>
    <w:qFormat/>
    <w:uiPriority w:val="0"/>
  </w:style>
  <w:style w:type="character" w:styleId="51">
    <w:name w:val="FollowedHyperlink"/>
    <w:qFormat/>
    <w:uiPriority w:val="99"/>
    <w:rPr>
      <w:color w:val="800080"/>
      <w:u w:val="single"/>
    </w:rPr>
  </w:style>
  <w:style w:type="character" w:styleId="52">
    <w:name w:val="Hyperlink"/>
    <w:autoRedefine/>
    <w:qFormat/>
    <w:uiPriority w:val="99"/>
    <w:rPr>
      <w:color w:val="0000FF"/>
      <w:u w:val="single"/>
    </w:rPr>
  </w:style>
  <w:style w:type="character" w:styleId="53">
    <w:name w:val="annotation reference"/>
    <w:semiHidden/>
    <w:qFormat/>
    <w:uiPriority w:val="99"/>
    <w:rPr>
      <w:sz w:val="21"/>
      <w:szCs w:val="21"/>
    </w:rPr>
  </w:style>
  <w:style w:type="character" w:customStyle="1" w:styleId="54">
    <w:name w:val="标题 1 字符"/>
    <w:link w:val="3"/>
    <w:autoRedefine/>
    <w:qFormat/>
    <w:uiPriority w:val="9"/>
    <w:rPr>
      <w:rFonts w:eastAsia="Century Gothic"/>
      <w:b/>
      <w:bCs/>
      <w:kern w:val="44"/>
      <w:sz w:val="44"/>
      <w:szCs w:val="44"/>
      <w:lang w:val="en-US" w:eastAsia="zh-CN" w:bidi="ar-SA"/>
    </w:rPr>
  </w:style>
  <w:style w:type="character" w:customStyle="1" w:styleId="55">
    <w:name w:val="标题 2 字符"/>
    <w:basedOn w:val="48"/>
    <w:link w:val="4"/>
    <w:autoRedefine/>
    <w:qFormat/>
    <w:uiPriority w:val="0"/>
    <w:rPr>
      <w:rFonts w:ascii="黑体" w:hAnsi="黑体" w:eastAsia="楷体"/>
      <w:b/>
      <w:bCs/>
      <w:kern w:val="2"/>
      <w:sz w:val="32"/>
      <w:szCs w:val="32"/>
    </w:rPr>
  </w:style>
  <w:style w:type="character" w:customStyle="1" w:styleId="56">
    <w:name w:val="标题 3 字符"/>
    <w:basedOn w:val="48"/>
    <w:link w:val="5"/>
    <w:autoRedefine/>
    <w:qFormat/>
    <w:uiPriority w:val="0"/>
    <w:rPr>
      <w:b/>
      <w:bCs/>
      <w:kern w:val="2"/>
      <w:sz w:val="32"/>
      <w:szCs w:val="32"/>
    </w:rPr>
  </w:style>
  <w:style w:type="character" w:customStyle="1" w:styleId="57">
    <w:name w:val="正文缩进 字符"/>
    <w:link w:val="7"/>
    <w:autoRedefine/>
    <w:qFormat/>
    <w:uiPriority w:val="0"/>
    <w:rPr>
      <w:rFonts w:ascii="Arial" w:hAnsi="Arial" w:eastAsia="宋体" w:cs="Arial"/>
      <w:lang w:val="en-US" w:eastAsia="zh-CN" w:bidi="ar-SA"/>
    </w:rPr>
  </w:style>
  <w:style w:type="character" w:customStyle="1" w:styleId="58">
    <w:name w:val="标题 4 字符"/>
    <w:basedOn w:val="48"/>
    <w:link w:val="6"/>
    <w:qFormat/>
    <w:uiPriority w:val="0"/>
    <w:rPr>
      <w:rFonts w:ascii="MS Sans Serif" w:hAnsi="仿宋_GB2312" w:eastAsia="MS Sans Serif"/>
      <w:snapToGrid w:val="0"/>
      <w:sz w:val="24"/>
    </w:rPr>
  </w:style>
  <w:style w:type="character" w:customStyle="1" w:styleId="59">
    <w:name w:val="标题 5 字符"/>
    <w:basedOn w:val="48"/>
    <w:link w:val="8"/>
    <w:autoRedefine/>
    <w:qFormat/>
    <w:uiPriority w:val="9"/>
    <w:rPr>
      <w:rFonts w:ascii="MS Sans Serif" w:eastAsia="MS Sans Serif"/>
      <w:sz w:val="24"/>
    </w:rPr>
  </w:style>
  <w:style w:type="character" w:customStyle="1" w:styleId="60">
    <w:name w:val="标题 6 字符"/>
    <w:basedOn w:val="48"/>
    <w:link w:val="9"/>
    <w:autoRedefine/>
    <w:qFormat/>
    <w:uiPriority w:val="9"/>
    <w:rPr>
      <w:rFonts w:ascii="黑体" w:hAnsi="黑体" w:eastAsia="楷体"/>
      <w:b/>
      <w:kern w:val="2"/>
      <w:sz w:val="24"/>
    </w:rPr>
  </w:style>
  <w:style w:type="character" w:customStyle="1" w:styleId="61">
    <w:name w:val="标题 7 字符"/>
    <w:basedOn w:val="48"/>
    <w:link w:val="10"/>
    <w:qFormat/>
    <w:uiPriority w:val="9"/>
    <w:rPr>
      <w:b/>
      <w:kern w:val="2"/>
      <w:sz w:val="24"/>
    </w:rPr>
  </w:style>
  <w:style w:type="character" w:customStyle="1" w:styleId="62">
    <w:name w:val="标题 8 字符"/>
    <w:basedOn w:val="48"/>
    <w:link w:val="11"/>
    <w:autoRedefine/>
    <w:qFormat/>
    <w:uiPriority w:val="9"/>
    <w:rPr>
      <w:rFonts w:ascii="黑体" w:hAnsi="黑体" w:eastAsia="楷体"/>
      <w:kern w:val="2"/>
      <w:sz w:val="24"/>
    </w:rPr>
  </w:style>
  <w:style w:type="character" w:customStyle="1" w:styleId="63">
    <w:name w:val="标题 9 字符"/>
    <w:basedOn w:val="48"/>
    <w:link w:val="12"/>
    <w:qFormat/>
    <w:uiPriority w:val="9"/>
    <w:rPr>
      <w:rFonts w:ascii="黑体" w:hAnsi="黑体" w:eastAsia="楷体"/>
      <w:kern w:val="2"/>
      <w:sz w:val="21"/>
    </w:rPr>
  </w:style>
  <w:style w:type="character" w:customStyle="1" w:styleId="64">
    <w:name w:val="文档结构图 字符"/>
    <w:basedOn w:val="48"/>
    <w:link w:val="16"/>
    <w:semiHidden/>
    <w:qFormat/>
    <w:uiPriority w:val="99"/>
    <w:rPr>
      <w:kern w:val="2"/>
      <w:sz w:val="21"/>
      <w:szCs w:val="24"/>
      <w:shd w:val="clear" w:color="auto" w:fill="000080"/>
    </w:rPr>
  </w:style>
  <w:style w:type="character" w:customStyle="1" w:styleId="65">
    <w:name w:val="批注文字 字符"/>
    <w:basedOn w:val="48"/>
    <w:link w:val="17"/>
    <w:autoRedefine/>
    <w:qFormat/>
    <w:uiPriority w:val="0"/>
    <w:rPr>
      <w:kern w:val="2"/>
      <w:sz w:val="21"/>
      <w:szCs w:val="24"/>
    </w:rPr>
  </w:style>
  <w:style w:type="character" w:customStyle="1" w:styleId="66">
    <w:name w:val="正文文本 3 字符"/>
    <w:link w:val="18"/>
    <w:autoRedefine/>
    <w:qFormat/>
    <w:uiPriority w:val="0"/>
    <w:rPr>
      <w:rFonts w:ascii="Times New Roman" w:hAnsi="Times New Roman" w:cs="Times New Roman"/>
      <w:kern w:val="2"/>
      <w:sz w:val="16"/>
      <w:szCs w:val="16"/>
    </w:rPr>
  </w:style>
  <w:style w:type="character" w:customStyle="1" w:styleId="67">
    <w:name w:val="正文文本 字符"/>
    <w:basedOn w:val="48"/>
    <w:link w:val="19"/>
    <w:autoRedefine/>
    <w:qFormat/>
    <w:uiPriority w:val="0"/>
    <w:rPr>
      <w:kern w:val="2"/>
      <w:sz w:val="21"/>
      <w:szCs w:val="24"/>
    </w:rPr>
  </w:style>
  <w:style w:type="character" w:customStyle="1" w:styleId="68">
    <w:name w:val="正文文本缩进 字符"/>
    <w:link w:val="20"/>
    <w:qFormat/>
    <w:uiPriority w:val="99"/>
    <w:rPr>
      <w:rFonts w:ascii="Century Gothic" w:hAnsi="Century Gothic" w:eastAsia="Century Gothic"/>
      <w:kern w:val="2"/>
      <w:sz w:val="24"/>
      <w:lang w:val="en-US" w:eastAsia="zh-CN" w:bidi="ar-SA"/>
    </w:rPr>
  </w:style>
  <w:style w:type="character" w:customStyle="1" w:styleId="69">
    <w:name w:val="纯文本 字符"/>
    <w:link w:val="25"/>
    <w:autoRedefine/>
    <w:qFormat/>
    <w:uiPriority w:val="0"/>
    <w:rPr>
      <w:rFonts w:ascii="Century Gothic" w:hAnsi="楷体_GB2312" w:eastAsia="Century Gothic" w:cs="楷体_GB2312"/>
      <w:kern w:val="2"/>
      <w:sz w:val="21"/>
      <w:szCs w:val="21"/>
      <w:lang w:val="en-US" w:eastAsia="zh-CN" w:bidi="ar-SA"/>
    </w:rPr>
  </w:style>
  <w:style w:type="character" w:customStyle="1" w:styleId="70">
    <w:name w:val="日期 字符"/>
    <w:basedOn w:val="48"/>
    <w:link w:val="27"/>
    <w:qFormat/>
    <w:uiPriority w:val="99"/>
    <w:rPr>
      <w:kern w:val="2"/>
      <w:sz w:val="21"/>
      <w:szCs w:val="24"/>
    </w:rPr>
  </w:style>
  <w:style w:type="character" w:customStyle="1" w:styleId="71">
    <w:name w:val="正文文本缩进 2 字符"/>
    <w:basedOn w:val="48"/>
    <w:link w:val="28"/>
    <w:autoRedefine/>
    <w:qFormat/>
    <w:uiPriority w:val="99"/>
    <w:rPr>
      <w:rFonts w:ascii="Century Gothic" w:hAnsi="Century Gothic"/>
      <w:kern w:val="2"/>
      <w:sz w:val="24"/>
    </w:rPr>
  </w:style>
  <w:style w:type="character" w:customStyle="1" w:styleId="72">
    <w:name w:val="批注框文本 字符"/>
    <w:basedOn w:val="48"/>
    <w:link w:val="29"/>
    <w:autoRedefine/>
    <w:qFormat/>
    <w:uiPriority w:val="99"/>
    <w:rPr>
      <w:kern w:val="2"/>
      <w:sz w:val="18"/>
      <w:szCs w:val="18"/>
    </w:rPr>
  </w:style>
  <w:style w:type="character" w:customStyle="1" w:styleId="73">
    <w:name w:val="页脚 字符"/>
    <w:link w:val="30"/>
    <w:qFormat/>
    <w:uiPriority w:val="99"/>
    <w:rPr>
      <w:rFonts w:eastAsia="Century Gothic"/>
      <w:kern w:val="2"/>
      <w:sz w:val="18"/>
      <w:lang w:val="en-US" w:eastAsia="zh-CN" w:bidi="ar-SA"/>
    </w:rPr>
  </w:style>
  <w:style w:type="character" w:customStyle="1" w:styleId="74">
    <w:name w:val="页眉 字符"/>
    <w:basedOn w:val="48"/>
    <w:link w:val="31"/>
    <w:qFormat/>
    <w:uiPriority w:val="99"/>
    <w:rPr>
      <w:kern w:val="2"/>
      <w:sz w:val="18"/>
    </w:rPr>
  </w:style>
  <w:style w:type="character" w:customStyle="1" w:styleId="75">
    <w:name w:val="正文文本缩进 3 字符"/>
    <w:basedOn w:val="48"/>
    <w:link w:val="37"/>
    <w:autoRedefine/>
    <w:qFormat/>
    <w:uiPriority w:val="0"/>
    <w:rPr>
      <w:kern w:val="2"/>
      <w:sz w:val="16"/>
      <w:szCs w:val="16"/>
    </w:rPr>
  </w:style>
  <w:style w:type="character" w:customStyle="1" w:styleId="76">
    <w:name w:val="HTML 预设格式 字符"/>
    <w:link w:val="40"/>
    <w:autoRedefine/>
    <w:qFormat/>
    <w:uiPriority w:val="0"/>
    <w:rPr>
      <w:rFonts w:ascii="宋体" w:hAnsi="宋体" w:cs="宋体"/>
      <w:sz w:val="24"/>
      <w:szCs w:val="24"/>
    </w:rPr>
  </w:style>
  <w:style w:type="character" w:customStyle="1" w:styleId="77">
    <w:name w:val="标题 字符"/>
    <w:basedOn w:val="48"/>
    <w:link w:val="42"/>
    <w:autoRedefine/>
    <w:qFormat/>
    <w:uiPriority w:val="0"/>
    <w:rPr>
      <w:b/>
      <w:bCs/>
      <w:spacing w:val="60"/>
      <w:kern w:val="2"/>
      <w:sz w:val="32"/>
      <w:szCs w:val="24"/>
    </w:rPr>
  </w:style>
  <w:style w:type="character" w:customStyle="1" w:styleId="78">
    <w:name w:val="批注主题 字符"/>
    <w:basedOn w:val="79"/>
    <w:link w:val="43"/>
    <w:semiHidden/>
    <w:qFormat/>
    <w:uiPriority w:val="0"/>
    <w:rPr>
      <w:b/>
      <w:bCs/>
      <w:kern w:val="2"/>
      <w:sz w:val="21"/>
      <w:szCs w:val="24"/>
      <w:lang w:bidi="ar-SA"/>
    </w:rPr>
  </w:style>
  <w:style w:type="character" w:customStyle="1" w:styleId="79">
    <w:name w:val="批注文字 Char"/>
    <w:link w:val="80"/>
    <w:qFormat/>
    <w:uiPriority w:val="99"/>
    <w:rPr>
      <w:kern w:val="2"/>
      <w:sz w:val="21"/>
      <w:szCs w:val="24"/>
      <w:lang w:bidi="ar-SA"/>
    </w:rPr>
  </w:style>
  <w:style w:type="paragraph" w:customStyle="1" w:styleId="80">
    <w:name w:val="批注文字1"/>
    <w:basedOn w:val="1"/>
    <w:link w:val="79"/>
    <w:autoRedefine/>
    <w:qFormat/>
    <w:uiPriority w:val="0"/>
    <w:pPr>
      <w:jc w:val="left"/>
    </w:pPr>
  </w:style>
  <w:style w:type="paragraph" w:customStyle="1" w:styleId="81">
    <w:name w:val="Char"/>
    <w:basedOn w:val="1"/>
    <w:autoRedefine/>
    <w:qFormat/>
    <w:uiPriority w:val="0"/>
    <w:rPr>
      <w:rFonts w:ascii="Courier New" w:eastAsia="Courier New"/>
      <w:b/>
      <w:sz w:val="32"/>
      <w:szCs w:val="32"/>
    </w:rPr>
  </w:style>
  <w:style w:type="paragraph" w:customStyle="1" w:styleId="82">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83">
    <w:name w:val="Body Text 21"/>
    <w:basedOn w:val="1"/>
    <w:qFormat/>
    <w:uiPriority w:val="0"/>
    <w:pPr>
      <w:adjustRightInd w:val="0"/>
      <w:spacing w:line="300" w:lineRule="auto"/>
      <w:jc w:val="center"/>
    </w:pPr>
    <w:rPr>
      <w:rFonts w:hint="eastAsia" w:ascii="Century Gothic" w:hAnsi="Century Gothic"/>
      <w:sz w:val="24"/>
      <w:szCs w:val="20"/>
    </w:rPr>
  </w:style>
  <w:style w:type="character" w:customStyle="1" w:styleId="84">
    <w:name w:val="style1"/>
    <w:basedOn w:val="48"/>
    <w:qFormat/>
    <w:uiPriority w:val="0"/>
  </w:style>
  <w:style w:type="paragraph" w:customStyle="1" w:styleId="85">
    <w:name w:val="xl3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6">
    <w:name w:val="font5"/>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87">
    <w:name w:val="font6"/>
    <w:basedOn w:val="1"/>
    <w:qFormat/>
    <w:uiPriority w:val="0"/>
    <w:pPr>
      <w:widowControl/>
      <w:spacing w:before="100" w:beforeAutospacing="1" w:after="100" w:afterAutospacing="1"/>
      <w:jc w:val="left"/>
    </w:pPr>
    <w:rPr>
      <w:kern w:val="0"/>
      <w:sz w:val="18"/>
      <w:szCs w:val="18"/>
    </w:rPr>
  </w:style>
  <w:style w:type="paragraph" w:customStyle="1" w:styleId="8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89">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1">
    <w:name w:val="xl27"/>
    <w:basedOn w:val="1"/>
    <w:qFormat/>
    <w:uiPriority w:val="0"/>
    <w:pPr>
      <w:widowControl/>
      <w:pBdr>
        <w:bottom w:val="single" w:color="auto" w:sz="4" w:space="0"/>
      </w:pBdr>
      <w:spacing w:before="100" w:beforeAutospacing="1" w:after="100" w:afterAutospacing="1"/>
      <w:jc w:val="center"/>
      <w:textAlignment w:val="center"/>
    </w:pPr>
    <w:rPr>
      <w:rFonts w:ascii="Arial Narrow" w:hAnsi="Century Gothic" w:eastAsia="Arial Narrow" w:cs="Century Gothic"/>
      <w:kern w:val="0"/>
      <w:sz w:val="36"/>
      <w:szCs w:val="36"/>
    </w:rPr>
  </w:style>
  <w:style w:type="paragraph" w:customStyle="1" w:styleId="92">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4"/>
    </w:rPr>
  </w:style>
  <w:style w:type="paragraph" w:customStyle="1" w:styleId="93">
    <w:name w:val="xl2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4">
    <w:name w:val="xl3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5">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6">
    <w:name w:val="xl3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7">
    <w:name w:val="xl3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8">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99">
    <w:name w:val="xl3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00">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Narrow" w:hAnsi="Century Gothic" w:eastAsia="Arial Narrow" w:cs="Century Gothic"/>
      <w:kern w:val="0"/>
      <w:sz w:val="24"/>
    </w:rPr>
  </w:style>
  <w:style w:type="paragraph" w:customStyle="1" w:styleId="101">
    <w:name w:val="xl38"/>
    <w:basedOn w:val="1"/>
    <w:qFormat/>
    <w:uiPriority w:val="0"/>
    <w:pPr>
      <w:widowControl/>
      <w:spacing w:before="100" w:beforeAutospacing="1" w:after="100" w:afterAutospacing="1"/>
      <w:jc w:val="left"/>
    </w:pPr>
    <w:rPr>
      <w:rFonts w:ascii="Century Gothic" w:hAnsi="Century Gothic" w:cs="Century Gothic"/>
      <w:kern w:val="0"/>
      <w:sz w:val="18"/>
      <w:szCs w:val="18"/>
    </w:rPr>
  </w:style>
  <w:style w:type="paragraph" w:customStyle="1" w:styleId="102">
    <w:name w:val="节"/>
    <w:basedOn w:val="4"/>
    <w:qFormat/>
    <w:uiPriority w:val="0"/>
    <w:pPr>
      <w:adjustRightInd/>
      <w:spacing w:before="160" w:after="160" w:line="720" w:lineRule="exact"/>
      <w:jc w:val="center"/>
    </w:pPr>
    <w:rPr>
      <w:rFonts w:ascii="Arial" w:hAnsi="Arial"/>
      <w:b w:val="0"/>
      <w:color w:val="000000"/>
      <w:spacing w:val="14"/>
      <w:kern w:val="24"/>
      <w:sz w:val="28"/>
      <w:szCs w:val="20"/>
    </w:rPr>
  </w:style>
  <w:style w:type="paragraph" w:customStyle="1" w:styleId="103">
    <w:name w:val="小节"/>
    <w:basedOn w:val="5"/>
    <w:qFormat/>
    <w:uiPriority w:val="0"/>
    <w:pPr>
      <w:spacing w:before="200" w:after="200" w:line="560" w:lineRule="exact"/>
      <w:jc w:val="left"/>
    </w:pPr>
    <w:rPr>
      <w:rFonts w:ascii="Century Gothic" w:hAnsi="Century Gothic"/>
      <w:bCs w:val="0"/>
      <w:color w:val="000000"/>
      <w:spacing w:val="10"/>
      <w:kern w:val="24"/>
      <w:sz w:val="28"/>
    </w:rPr>
  </w:style>
  <w:style w:type="paragraph" w:customStyle="1" w:styleId="104">
    <w:name w:val="标书标题2"/>
    <w:basedOn w:val="4"/>
    <w:qFormat/>
    <w:uiPriority w:val="0"/>
    <w:pPr>
      <w:keepLines w:val="0"/>
      <w:widowControl/>
      <w:tabs>
        <w:tab w:val="left" w:pos="1320"/>
      </w:tabs>
      <w:snapToGrid w:val="0"/>
      <w:spacing w:beforeLines="50" w:after="60" w:line="300" w:lineRule="auto"/>
      <w:ind w:left="1320" w:hanging="420"/>
      <w:jc w:val="both"/>
    </w:pPr>
    <w:rPr>
      <w:rFonts w:eastAsia="Courier New"/>
      <w:color w:val="000000"/>
      <w:kern w:val="0"/>
      <w:sz w:val="28"/>
      <w:szCs w:val="20"/>
    </w:rPr>
  </w:style>
  <w:style w:type="paragraph" w:customStyle="1" w:styleId="105">
    <w:name w:val="标书标题3"/>
    <w:basedOn w:val="5"/>
    <w:qFormat/>
    <w:uiPriority w:val="0"/>
    <w:pPr>
      <w:keepLines w:val="0"/>
      <w:widowControl/>
      <w:adjustRightInd w:val="0"/>
      <w:snapToGrid w:val="0"/>
      <w:spacing w:before="120" w:after="60" w:line="300" w:lineRule="auto"/>
      <w:jc w:val="left"/>
    </w:pPr>
    <w:rPr>
      <w:rFonts w:eastAsia="Courier New"/>
      <w:b w:val="0"/>
      <w:bCs w:val="0"/>
      <w:color w:val="000000"/>
      <w:kern w:val="0"/>
      <w:sz w:val="28"/>
    </w:rPr>
  </w:style>
  <w:style w:type="paragraph" w:customStyle="1" w:styleId="106">
    <w:name w:val="标书标题4"/>
    <w:basedOn w:val="6"/>
    <w:qFormat/>
    <w:uiPriority w:val="0"/>
    <w:pPr>
      <w:widowControl w:val="0"/>
      <w:adjustRightInd w:val="0"/>
      <w:snapToGrid w:val="0"/>
      <w:spacing w:line="300" w:lineRule="auto"/>
      <w:jc w:val="both"/>
    </w:pPr>
    <w:rPr>
      <w:rFonts w:eastAsia="Courier New"/>
      <w:b/>
      <w:snapToGrid/>
      <w:color w:val="000000"/>
      <w:sz w:val="28"/>
      <w:szCs w:val="32"/>
    </w:rPr>
  </w:style>
  <w:style w:type="paragraph" w:customStyle="1" w:styleId="107">
    <w:name w:val="正文文字格式"/>
    <w:basedOn w:val="1"/>
    <w:qFormat/>
    <w:uiPriority w:val="0"/>
    <w:pPr>
      <w:spacing w:line="460" w:lineRule="exact"/>
      <w:ind w:firstLine="505"/>
      <w:jc w:val="left"/>
    </w:pPr>
    <w:rPr>
      <w:rFonts w:ascii="Century Gothic"/>
      <w:kern w:val="24"/>
      <w:sz w:val="24"/>
      <w:szCs w:val="20"/>
    </w:rPr>
  </w:style>
  <w:style w:type="character" w:customStyle="1" w:styleId="108">
    <w:name w:val="zbggmain style9"/>
    <w:qFormat/>
    <w:uiPriority w:val="0"/>
    <w:rPr>
      <w:rFonts w:ascii="Courier New" w:eastAsia="Courier New"/>
      <w:b/>
      <w:kern w:val="2"/>
      <w:sz w:val="32"/>
      <w:szCs w:val="32"/>
      <w:lang w:val="en-US" w:eastAsia="zh-CN" w:bidi="ar-SA"/>
    </w:rPr>
  </w:style>
  <w:style w:type="character" w:customStyle="1" w:styleId="109">
    <w:name w:val="bulletintext1"/>
    <w:qFormat/>
    <w:uiPriority w:val="0"/>
    <w:rPr>
      <w:color w:val="000000"/>
      <w:sz w:val="18"/>
    </w:rPr>
  </w:style>
  <w:style w:type="paragraph" w:customStyle="1" w:styleId="110">
    <w:name w:val="Char11"/>
    <w:basedOn w:val="1"/>
    <w:qFormat/>
    <w:uiPriority w:val="0"/>
  </w:style>
  <w:style w:type="paragraph" w:customStyle="1" w:styleId="111">
    <w:name w:val="font1"/>
    <w:basedOn w:val="1"/>
    <w:qFormat/>
    <w:uiPriority w:val="0"/>
    <w:pPr>
      <w:widowControl/>
      <w:spacing w:before="100" w:beforeAutospacing="1" w:after="100" w:afterAutospacing="1"/>
      <w:jc w:val="left"/>
    </w:pPr>
    <w:rPr>
      <w:rFonts w:ascii="Century Gothic" w:hAnsi="Century Gothic"/>
      <w:kern w:val="0"/>
      <w:sz w:val="24"/>
      <w:szCs w:val="20"/>
    </w:rPr>
  </w:style>
  <w:style w:type="paragraph" w:customStyle="1" w:styleId="112">
    <w:name w:val="样式5"/>
    <w:basedOn w:val="6"/>
    <w:qFormat/>
    <w:uiPriority w:val="0"/>
    <w:pPr>
      <w:keepLines/>
      <w:widowControl w:val="0"/>
      <w:spacing w:before="280" w:after="290" w:line="376" w:lineRule="auto"/>
    </w:pPr>
    <w:rPr>
      <w:rFonts w:ascii="Century Gothic" w:hAnsi="Century Gothic" w:eastAsia="Century Gothic"/>
      <w:b/>
      <w:bCs/>
      <w:snapToGrid/>
      <w:kern w:val="2"/>
      <w:sz w:val="32"/>
      <w:szCs w:val="32"/>
    </w:rPr>
  </w:style>
  <w:style w:type="character" w:customStyle="1" w:styleId="113">
    <w:name w:val="普通文字 Char Char1"/>
    <w:qFormat/>
    <w:uiPriority w:val="0"/>
    <w:rPr>
      <w:rFonts w:ascii="Century Gothic" w:hAnsi="楷体_GB2312" w:eastAsia="Century Gothic" w:cs="楷体_GB2312"/>
      <w:kern w:val="2"/>
      <w:sz w:val="21"/>
      <w:szCs w:val="21"/>
      <w:lang w:val="en-US" w:eastAsia="zh-CN" w:bidi="ar-SA"/>
    </w:rPr>
  </w:style>
  <w:style w:type="character" w:customStyle="1" w:styleId="114">
    <w:name w:val="Char Char21"/>
    <w:qFormat/>
    <w:uiPriority w:val="0"/>
    <w:rPr>
      <w:rFonts w:eastAsia="Century Gothic"/>
      <w:b/>
      <w:bCs/>
      <w:kern w:val="44"/>
      <w:sz w:val="32"/>
      <w:szCs w:val="44"/>
      <w:lang w:val="en-US" w:eastAsia="zh-CN" w:bidi="ar-SA"/>
    </w:rPr>
  </w:style>
  <w:style w:type="paragraph" w:customStyle="1" w:styleId="115">
    <w:name w:val="Char3 Char Char Char"/>
    <w:basedOn w:val="1"/>
    <w:qFormat/>
    <w:uiPriority w:val="0"/>
    <w:pPr>
      <w:widowControl/>
      <w:spacing w:after="160" w:line="240" w:lineRule="exact"/>
      <w:jc w:val="left"/>
    </w:pPr>
    <w:rPr>
      <w:szCs w:val="20"/>
    </w:rPr>
  </w:style>
  <w:style w:type="character" w:customStyle="1" w:styleId="116">
    <w:name w:val="Char Char12"/>
    <w:qFormat/>
    <w:uiPriority w:val="0"/>
    <w:rPr>
      <w:rFonts w:ascii="Century Gothic" w:hAnsi="楷体_GB2312" w:eastAsia="Century Gothic" w:cs="楷体_GB2312"/>
      <w:kern w:val="2"/>
      <w:sz w:val="21"/>
      <w:szCs w:val="21"/>
      <w:lang w:val="en-US" w:eastAsia="zh-CN" w:bidi="ar-SA"/>
    </w:rPr>
  </w:style>
  <w:style w:type="paragraph" w:customStyle="1" w:styleId="117">
    <w:name w:val="正文段"/>
    <w:basedOn w:val="1"/>
    <w:qFormat/>
    <w:uiPriority w:val="0"/>
    <w:pPr>
      <w:widowControl/>
      <w:snapToGrid w:val="0"/>
      <w:spacing w:afterLines="50"/>
      <w:ind w:firstLine="200" w:firstLineChars="200"/>
    </w:pPr>
    <w:rPr>
      <w:kern w:val="0"/>
      <w:sz w:val="24"/>
      <w:szCs w:val="20"/>
    </w:rPr>
  </w:style>
  <w:style w:type="paragraph" w:customStyle="1" w:styleId="118">
    <w:name w:val="Char1"/>
    <w:basedOn w:val="1"/>
    <w:qFormat/>
    <w:uiPriority w:val="0"/>
    <w:pPr>
      <w:widowControl/>
      <w:spacing w:after="160" w:line="240" w:lineRule="exact"/>
      <w:jc w:val="left"/>
    </w:pPr>
    <w:rPr>
      <w:szCs w:val="20"/>
    </w:rPr>
  </w:style>
  <w:style w:type="character" w:customStyle="1" w:styleId="119">
    <w:name w:val="Char Char"/>
    <w:qFormat/>
    <w:uiPriority w:val="0"/>
    <w:rPr>
      <w:rFonts w:ascii="Courier New" w:eastAsia="Courier New"/>
      <w:color w:val="FF0000"/>
      <w:kern w:val="2"/>
      <w:sz w:val="24"/>
      <w:szCs w:val="24"/>
      <w:u w:val="single"/>
      <w:lang w:val="en-US" w:eastAsia="zh-CN" w:bidi="ar-SA"/>
    </w:rPr>
  </w:style>
  <w:style w:type="character" w:customStyle="1" w:styleId="120">
    <w:name w:val="zbggtop11 style5"/>
    <w:basedOn w:val="48"/>
    <w:qFormat/>
    <w:uiPriority w:val="0"/>
  </w:style>
  <w:style w:type="character" w:customStyle="1" w:styleId="121">
    <w:name w:val="tpc_content1"/>
    <w:qFormat/>
    <w:uiPriority w:val="0"/>
    <w:rPr>
      <w:sz w:val="20"/>
      <w:szCs w:val="20"/>
    </w:rPr>
  </w:style>
  <w:style w:type="paragraph" w:customStyle="1" w:styleId="12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kern w:val="0"/>
      <w:sz w:val="20"/>
      <w:szCs w:val="20"/>
    </w:rPr>
  </w:style>
  <w:style w:type="paragraph" w:customStyle="1" w:styleId="123">
    <w:name w:val="xl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 w:val="24"/>
      <w:szCs w:val="20"/>
    </w:rPr>
  </w:style>
  <w:style w:type="paragraph" w:customStyle="1" w:styleId="124">
    <w:name w:val="Char Char Char Char"/>
    <w:basedOn w:val="1"/>
    <w:qFormat/>
    <w:uiPriority w:val="0"/>
    <w:rPr>
      <w:rFonts w:cs="Times New Roman"/>
      <w:szCs w:val="20"/>
    </w:rPr>
  </w:style>
  <w:style w:type="paragraph" w:customStyle="1" w:styleId="125">
    <w:name w:val="标准文本"/>
    <w:basedOn w:val="1"/>
    <w:link w:val="126"/>
    <w:qFormat/>
    <w:uiPriority w:val="0"/>
    <w:pPr>
      <w:spacing w:line="360" w:lineRule="auto"/>
      <w:ind w:firstLine="480" w:firstLineChars="200"/>
    </w:pPr>
    <w:rPr>
      <w:rFonts w:cs="宋体"/>
      <w:sz w:val="24"/>
      <w:szCs w:val="20"/>
    </w:rPr>
  </w:style>
  <w:style w:type="character" w:customStyle="1" w:styleId="126">
    <w:name w:val="标准文本 Char"/>
    <w:link w:val="125"/>
    <w:qFormat/>
    <w:uiPriority w:val="0"/>
    <w:rPr>
      <w:rFonts w:eastAsia="宋体" w:cs="宋体"/>
      <w:kern w:val="2"/>
      <w:sz w:val="24"/>
      <w:lang w:val="en-US" w:eastAsia="zh-CN" w:bidi="ar-SA"/>
    </w:rPr>
  </w:style>
  <w:style w:type="paragraph" w:customStyle="1" w:styleId="127">
    <w:name w:val="彩色列表 - 强调文字颜色 11"/>
    <w:basedOn w:val="1"/>
    <w:qFormat/>
    <w:uiPriority w:val="0"/>
    <w:pPr>
      <w:ind w:firstLine="420" w:firstLineChars="200"/>
    </w:pPr>
    <w:rPr>
      <w:rFonts w:ascii="Times New Roman" w:hAnsi="Times New Roman" w:cs="Times New Roman"/>
    </w:rPr>
  </w:style>
  <w:style w:type="paragraph" w:customStyle="1" w:styleId="128">
    <w:name w:val="Char Char Char Char Char Char Char Char"/>
    <w:basedOn w:val="1"/>
    <w:qFormat/>
    <w:uiPriority w:val="0"/>
    <w:pPr>
      <w:tabs>
        <w:tab w:val="left" w:pos="360"/>
      </w:tabs>
    </w:pPr>
    <w:rPr>
      <w:rFonts w:ascii="Calibri" w:hAnsi="Calibri" w:cs="Times New Roman"/>
      <w:szCs w:val="20"/>
    </w:rPr>
  </w:style>
  <w:style w:type="paragraph" w:customStyle="1" w:styleId="12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character" w:customStyle="1" w:styleId="130">
    <w:name w:val="纯文本 Char"/>
    <w:qFormat/>
    <w:uiPriority w:val="0"/>
    <w:rPr>
      <w:rFonts w:ascii="Century Gothic" w:hAnsi="楷体_GB2312" w:eastAsia="Century Gothic"/>
      <w:kern w:val="2"/>
      <w:sz w:val="21"/>
      <w:lang w:bidi="ar-SA"/>
    </w:rPr>
  </w:style>
  <w:style w:type="paragraph" w:customStyle="1" w:styleId="131">
    <w:name w:val="正文2"/>
    <w:basedOn w:val="1"/>
    <w:link w:val="132"/>
    <w:qFormat/>
    <w:uiPriority w:val="0"/>
    <w:pPr>
      <w:spacing w:before="156" w:line="360" w:lineRule="auto"/>
      <w:ind w:firstLine="510" w:firstLineChars="200"/>
    </w:pPr>
    <w:rPr>
      <w:sz w:val="24"/>
      <w:szCs w:val="20"/>
    </w:rPr>
  </w:style>
  <w:style w:type="character" w:customStyle="1" w:styleId="132">
    <w:name w:val="正文2 Char"/>
    <w:link w:val="131"/>
    <w:qFormat/>
    <w:uiPriority w:val="0"/>
    <w:rPr>
      <w:rFonts w:eastAsia="宋体"/>
      <w:kern w:val="2"/>
      <w:sz w:val="24"/>
      <w:lang w:val="en-US" w:eastAsia="zh-CN" w:bidi="ar-SA"/>
    </w:rPr>
  </w:style>
  <w:style w:type="character" w:customStyle="1" w:styleId="133">
    <w:name w:val="列出段落 Char"/>
    <w:link w:val="134"/>
    <w:qFormat/>
    <w:uiPriority w:val="0"/>
    <w:rPr>
      <w:rFonts w:eastAsia="宋体"/>
      <w:lang w:bidi="ar-SA"/>
    </w:rPr>
  </w:style>
  <w:style w:type="paragraph" w:customStyle="1" w:styleId="134">
    <w:name w:val="列出段落1"/>
    <w:basedOn w:val="1"/>
    <w:link w:val="133"/>
    <w:qFormat/>
    <w:uiPriority w:val="0"/>
    <w:pPr>
      <w:ind w:firstLine="420" w:firstLineChars="200"/>
    </w:pPr>
    <w:rPr>
      <w:kern w:val="0"/>
      <w:sz w:val="20"/>
      <w:szCs w:val="20"/>
    </w:rPr>
  </w:style>
  <w:style w:type="paragraph" w:customStyle="1" w:styleId="135">
    <w:name w:val="正文缩进1"/>
    <w:basedOn w:val="1"/>
    <w:qFormat/>
    <w:uiPriority w:val="0"/>
    <w:pPr>
      <w:adjustRightInd w:val="0"/>
      <w:spacing w:line="360" w:lineRule="auto"/>
      <w:ind w:firstLine="540" w:firstLineChars="225"/>
      <w:textAlignment w:val="baseline"/>
    </w:pPr>
    <w:rPr>
      <w:rFonts w:ascii="Times New Roman" w:hAnsi="Times New Roman" w:cs="Times New Roman"/>
      <w:sz w:val="24"/>
      <w:szCs w:val="20"/>
    </w:rPr>
  </w:style>
  <w:style w:type="paragraph" w:customStyle="1" w:styleId="136">
    <w:name w:val="font7"/>
    <w:basedOn w:val="1"/>
    <w:qFormat/>
    <w:uiPriority w:val="0"/>
    <w:pPr>
      <w:widowControl/>
      <w:spacing w:before="100" w:beforeAutospacing="1" w:after="100" w:afterAutospacing="1"/>
      <w:jc w:val="left"/>
    </w:pPr>
    <w:rPr>
      <w:rFonts w:ascii="黑体" w:hAnsi="黑体" w:eastAsia="黑体" w:cs="宋体"/>
      <w:kern w:val="0"/>
      <w:sz w:val="18"/>
      <w:szCs w:val="18"/>
    </w:rPr>
  </w:style>
  <w:style w:type="paragraph" w:customStyle="1" w:styleId="137">
    <w:name w:val="font8"/>
    <w:basedOn w:val="1"/>
    <w:qFormat/>
    <w:uiPriority w:val="0"/>
    <w:pPr>
      <w:widowControl/>
      <w:spacing w:before="100" w:beforeAutospacing="1" w:after="100" w:afterAutospacing="1"/>
      <w:jc w:val="left"/>
    </w:pPr>
    <w:rPr>
      <w:rFonts w:ascii="黑体" w:hAnsi="黑体" w:eastAsia="黑体" w:cs="宋体"/>
      <w:b/>
      <w:bCs/>
      <w:kern w:val="0"/>
      <w:sz w:val="18"/>
      <w:szCs w:val="18"/>
    </w:rPr>
  </w:style>
  <w:style w:type="paragraph" w:customStyle="1" w:styleId="13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39">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0">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41">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42">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43">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44">
    <w:name w:val="xl92"/>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45">
    <w:name w:val="xl9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46">
    <w:name w:val="xl94"/>
    <w:basedOn w:val="1"/>
    <w:qFormat/>
    <w:uiPriority w:val="0"/>
    <w:pPr>
      <w:widowControl/>
      <w:spacing w:before="100" w:beforeAutospacing="1" w:after="100" w:afterAutospacing="1"/>
      <w:jc w:val="left"/>
    </w:pPr>
    <w:rPr>
      <w:rFonts w:ascii="宋体" w:hAnsi="宋体" w:cs="宋体"/>
      <w:kern w:val="0"/>
      <w:sz w:val="24"/>
    </w:rPr>
  </w:style>
  <w:style w:type="paragraph" w:customStyle="1" w:styleId="147">
    <w:name w:val="xl95"/>
    <w:basedOn w:val="1"/>
    <w:qFormat/>
    <w:uiPriority w:val="0"/>
    <w:pPr>
      <w:widowControl/>
      <w:shd w:val="clear" w:color="000000" w:fill="CCFFFF"/>
      <w:spacing w:before="100" w:beforeAutospacing="1" w:after="100" w:afterAutospacing="1"/>
      <w:jc w:val="left"/>
    </w:pPr>
    <w:rPr>
      <w:rFonts w:ascii="宋体" w:hAnsi="宋体" w:cs="宋体"/>
      <w:kern w:val="0"/>
      <w:sz w:val="24"/>
    </w:rPr>
  </w:style>
  <w:style w:type="paragraph" w:customStyle="1" w:styleId="148">
    <w:name w:val="xl96"/>
    <w:basedOn w:val="1"/>
    <w:qFormat/>
    <w:uiPriority w:val="0"/>
    <w:pPr>
      <w:widowControl/>
      <w:spacing w:before="100" w:beforeAutospacing="1" w:after="100" w:afterAutospacing="1"/>
      <w:jc w:val="left"/>
    </w:pPr>
    <w:rPr>
      <w:rFonts w:ascii="宋体" w:hAnsi="宋体" w:cs="宋体"/>
      <w:kern w:val="0"/>
      <w:sz w:val="24"/>
    </w:rPr>
  </w:style>
  <w:style w:type="paragraph" w:customStyle="1" w:styleId="149">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0">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1">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53">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4">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155">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56">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57">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58">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59">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60">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6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黑体" w:hAnsi="黑体" w:eastAsia="黑体" w:cs="宋体"/>
      <w:kern w:val="0"/>
      <w:sz w:val="20"/>
      <w:szCs w:val="20"/>
    </w:rPr>
  </w:style>
  <w:style w:type="paragraph" w:customStyle="1" w:styleId="162">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63">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64">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65">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6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20"/>
      <w:szCs w:val="20"/>
    </w:rPr>
  </w:style>
  <w:style w:type="paragraph" w:customStyle="1" w:styleId="167">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68">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69">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黑体" w:hAnsi="黑体" w:eastAsia="黑体" w:cs="宋体"/>
      <w:kern w:val="0"/>
      <w:sz w:val="20"/>
      <w:szCs w:val="20"/>
    </w:rPr>
  </w:style>
  <w:style w:type="paragraph" w:customStyle="1" w:styleId="170">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18"/>
      <w:szCs w:val="18"/>
    </w:rPr>
  </w:style>
  <w:style w:type="paragraph" w:customStyle="1" w:styleId="171">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黑体" w:hAnsi="黑体" w:eastAsia="黑体" w:cs="宋体"/>
      <w:kern w:val="0"/>
      <w:sz w:val="18"/>
      <w:szCs w:val="18"/>
    </w:rPr>
  </w:style>
  <w:style w:type="paragraph" w:customStyle="1" w:styleId="172">
    <w:name w:val="xl12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73">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character" w:customStyle="1" w:styleId="174">
    <w:name w:val="style8"/>
    <w:basedOn w:val="48"/>
    <w:qFormat/>
    <w:uiPriority w:val="0"/>
  </w:style>
  <w:style w:type="character" w:customStyle="1" w:styleId="175">
    <w:name w:val="huei12b1"/>
    <w:qFormat/>
    <w:uiPriority w:val="0"/>
    <w:rPr>
      <w:b/>
      <w:bCs/>
      <w:color w:val="333333"/>
      <w:sz w:val="20"/>
      <w:szCs w:val="20"/>
    </w:rPr>
  </w:style>
  <w:style w:type="paragraph" w:customStyle="1" w:styleId="176">
    <w:name w:val="文字"/>
    <w:basedOn w:val="1"/>
    <w:qFormat/>
    <w:uiPriority w:val="0"/>
    <w:pPr>
      <w:tabs>
        <w:tab w:val="left" w:pos="8520"/>
      </w:tabs>
      <w:spacing w:line="312" w:lineRule="auto"/>
      <w:ind w:right="-210" w:firstLine="556"/>
    </w:pPr>
    <w:rPr>
      <w:rFonts w:ascii="楷体_GB2312" w:hAnsi="Times New Roman" w:eastAsia="楷体_GB2312" w:cs="Times New Roman"/>
      <w:sz w:val="28"/>
      <w:szCs w:val="20"/>
    </w:rPr>
  </w:style>
  <w:style w:type="paragraph" w:customStyle="1" w:styleId="177">
    <w:name w:val="小标题2"/>
    <w:basedOn w:val="1"/>
    <w:next w:val="1"/>
    <w:qFormat/>
    <w:uiPriority w:val="0"/>
    <w:pPr>
      <w:spacing w:beforeLines="20" w:afterLines="20" w:line="400" w:lineRule="exact"/>
      <w:ind w:firstLine="200" w:firstLineChars="200"/>
    </w:pPr>
    <w:rPr>
      <w:rFonts w:ascii="Times New Roman" w:hAnsi="Times New Roman" w:eastAsia="楷体_GB2312" w:cs="Times New Roman"/>
      <w:sz w:val="24"/>
    </w:rPr>
  </w:style>
  <w:style w:type="paragraph" w:customStyle="1" w:styleId="178">
    <w:name w:val="1"/>
    <w:basedOn w:val="1"/>
    <w:next w:val="41"/>
    <w:qFormat/>
    <w:uiPriority w:val="0"/>
    <w:pPr>
      <w:widowControl/>
      <w:spacing w:before="100" w:beforeAutospacing="1" w:after="100" w:afterAutospacing="1"/>
      <w:jc w:val="left"/>
    </w:pPr>
    <w:rPr>
      <w:rFonts w:hint="eastAsia" w:ascii="宋体" w:hAnsi="宋体" w:cs="Times New Roman"/>
      <w:kern w:val="0"/>
      <w:sz w:val="24"/>
    </w:rPr>
  </w:style>
  <w:style w:type="character" w:customStyle="1" w:styleId="179">
    <w:name w:val="wz1"/>
    <w:basedOn w:val="48"/>
    <w:qFormat/>
    <w:uiPriority w:val="0"/>
  </w:style>
  <w:style w:type="character" w:customStyle="1" w:styleId="180">
    <w:name w:val="button1"/>
    <w:qFormat/>
    <w:uiPriority w:val="0"/>
    <w:rPr>
      <w:rFonts w:hint="default" w:ascii="Verdana" w:hAnsi="Verdana"/>
      <w:b/>
      <w:bCs/>
      <w:sz w:val="20"/>
      <w:szCs w:val="20"/>
    </w:rPr>
  </w:style>
  <w:style w:type="character" w:customStyle="1" w:styleId="181">
    <w:name w:val="l17"/>
    <w:basedOn w:val="48"/>
    <w:qFormat/>
    <w:uiPriority w:val="0"/>
  </w:style>
  <w:style w:type="paragraph" w:customStyle="1" w:styleId="182">
    <w:name w:val="Char Char Char"/>
    <w:basedOn w:val="1"/>
    <w:qFormat/>
    <w:uiPriority w:val="0"/>
    <w:rPr>
      <w:rFonts w:ascii="Tahoma" w:hAnsi="Tahoma" w:cs="Times New Roman"/>
      <w:sz w:val="24"/>
      <w:szCs w:val="20"/>
    </w:rPr>
  </w:style>
  <w:style w:type="paragraph" w:customStyle="1" w:styleId="183">
    <w:name w:val="标题3"/>
    <w:basedOn w:val="5"/>
    <w:link w:val="184"/>
    <w:qFormat/>
    <w:uiPriority w:val="0"/>
    <w:rPr>
      <w:rFonts w:ascii="宋体" w:hAnsi="宋体" w:cs="Times New Roman"/>
      <w:sz w:val="28"/>
      <w:szCs w:val="28"/>
    </w:rPr>
  </w:style>
  <w:style w:type="character" w:customStyle="1" w:styleId="184">
    <w:name w:val="标题3 字符"/>
    <w:link w:val="183"/>
    <w:uiPriority w:val="0"/>
    <w:rPr>
      <w:rFonts w:ascii="宋体" w:hAnsi="宋体" w:eastAsia="宋体" w:cs="Times New Roman"/>
      <w:b/>
      <w:bCs/>
      <w:kern w:val="2"/>
      <w:sz w:val="28"/>
      <w:szCs w:val="28"/>
    </w:rPr>
  </w:style>
  <w:style w:type="character" w:customStyle="1" w:styleId="185">
    <w:name w:val="content"/>
    <w:basedOn w:val="48"/>
    <w:qFormat/>
    <w:uiPriority w:val="0"/>
  </w:style>
  <w:style w:type="paragraph" w:customStyle="1" w:styleId="186">
    <w:name w:val="Horizontal Bar"/>
    <w:basedOn w:val="1"/>
    <w:qFormat/>
    <w:uiPriority w:val="0"/>
    <w:pPr>
      <w:kinsoku w:val="0"/>
      <w:overflowPunct w:val="0"/>
      <w:topLinePunct/>
      <w:spacing w:line="0" w:lineRule="atLeast"/>
      <w:jc w:val="left"/>
    </w:pPr>
    <w:rPr>
      <w:rFonts w:ascii="ScalaSansLF-Regular" w:hAnsi="ScalaSansLF-Regular" w:eastAsia="ScalaSansLF-Regular" w:cs="ScalaSansLF-Regular"/>
      <w:bCs/>
      <w:sz w:val="16"/>
      <w:szCs w:val="16"/>
      <w:lang w:eastAsia="ja-JP"/>
    </w:rPr>
  </w:style>
  <w:style w:type="character" w:customStyle="1" w:styleId="187">
    <w:name w:val="unnamed1"/>
    <w:basedOn w:val="48"/>
    <w:qFormat/>
    <w:uiPriority w:val="0"/>
  </w:style>
  <w:style w:type="paragraph" w:customStyle="1" w:styleId="188">
    <w:name w:val="Char Char Char Char Char Char Char Char Char Char"/>
    <w:basedOn w:val="16"/>
    <w:qFormat/>
    <w:uiPriority w:val="0"/>
    <w:rPr>
      <w:rFonts w:ascii="Tahoma" w:hAnsi="Tahoma" w:cs="Times New Roman"/>
      <w:b/>
    </w:rPr>
  </w:style>
  <w:style w:type="character" w:customStyle="1" w:styleId="189">
    <w:name w:val="body001"/>
    <w:qFormat/>
    <w:uiPriority w:val="0"/>
    <w:rPr>
      <w:rFonts w:hint="default" w:ascii="ˎ̥" w:hAnsi="ˎ̥"/>
      <w:color w:val="333333"/>
      <w:sz w:val="18"/>
      <w:szCs w:val="18"/>
    </w:rPr>
  </w:style>
  <w:style w:type="paragraph" w:customStyle="1" w:styleId="190">
    <w:name w:val="Char Char Char Char1"/>
    <w:basedOn w:val="1"/>
    <w:qFormat/>
    <w:uiPriority w:val="0"/>
    <w:pPr>
      <w:widowControl/>
      <w:spacing w:after="160" w:line="240" w:lineRule="exact"/>
      <w:jc w:val="left"/>
    </w:pPr>
    <w:rPr>
      <w:rFonts w:eastAsia="Times New Roman" w:cs="Verdana"/>
      <w:b/>
      <w:kern w:val="0"/>
      <w:sz w:val="24"/>
      <w:lang w:eastAsia="en-US"/>
    </w:rPr>
  </w:style>
  <w:style w:type="character" w:customStyle="1" w:styleId="191">
    <w:name w:val="search_content1"/>
    <w:qFormat/>
    <w:uiPriority w:val="0"/>
    <w:rPr>
      <w:sz w:val="20"/>
      <w:szCs w:val="20"/>
    </w:rPr>
  </w:style>
  <w:style w:type="character" w:customStyle="1" w:styleId="192">
    <w:name w:val="s"/>
    <w:basedOn w:val="48"/>
    <w:qFormat/>
    <w:uiPriority w:val="0"/>
  </w:style>
  <w:style w:type="paragraph" w:customStyle="1" w:styleId="193">
    <w:name w:val="Char Char Char Char Char Char Char Char1"/>
    <w:basedOn w:val="1"/>
    <w:qFormat/>
    <w:uiPriority w:val="0"/>
    <w:pPr>
      <w:tabs>
        <w:tab w:val="left" w:pos="360"/>
      </w:tabs>
    </w:pPr>
    <w:rPr>
      <w:rFonts w:ascii="Times New Roman" w:hAnsi="Times New Roman" w:cs="Times New Roman"/>
      <w:szCs w:val="20"/>
    </w:rPr>
  </w:style>
  <w:style w:type="paragraph" w:customStyle="1" w:styleId="194">
    <w:name w:val="Char Char Char Char Char Char"/>
    <w:basedOn w:val="1"/>
    <w:qFormat/>
    <w:uiPriority w:val="0"/>
    <w:pPr>
      <w:ind w:firstLine="200" w:firstLineChars="200"/>
    </w:pPr>
    <w:rPr>
      <w:rFonts w:ascii="Tahoma" w:hAnsi="Tahoma" w:cs="Times New Roman"/>
      <w:sz w:val="24"/>
      <w:szCs w:val="20"/>
    </w:rPr>
  </w:style>
  <w:style w:type="character" w:customStyle="1" w:styleId="195">
    <w:name w:val="hei16b1"/>
    <w:qFormat/>
    <w:uiPriority w:val="0"/>
    <w:rPr>
      <w:rFonts w:hint="default" w:ascii="Arial" w:hAnsi="Arial" w:cs="Arial"/>
      <w:b/>
      <w:bCs/>
      <w:color w:val="000000"/>
      <w:sz w:val="24"/>
      <w:szCs w:val="24"/>
    </w:rPr>
  </w:style>
  <w:style w:type="character" w:customStyle="1" w:styleId="196">
    <w:name w:val="search_result_snap1"/>
    <w:qFormat/>
    <w:uiPriority w:val="0"/>
    <w:rPr>
      <w:sz w:val="21"/>
      <w:szCs w:val="21"/>
    </w:rPr>
  </w:style>
  <w:style w:type="character" w:customStyle="1" w:styleId="197">
    <w:name w:val="Char Char3"/>
    <w:qFormat/>
    <w:uiPriority w:val="0"/>
    <w:rPr>
      <w:rFonts w:ascii="宋体" w:hAnsi="Courier New" w:eastAsia="宋体"/>
      <w:kern w:val="2"/>
      <w:sz w:val="21"/>
      <w:lang w:val="en-US" w:eastAsia="zh-CN" w:bidi="ar-SA"/>
    </w:rPr>
  </w:style>
  <w:style w:type="paragraph" w:customStyle="1" w:styleId="198">
    <w:name w:val="Char Char Char Char Char Char Char"/>
    <w:basedOn w:val="1"/>
    <w:qFormat/>
    <w:uiPriority w:val="0"/>
    <w:pPr>
      <w:tabs>
        <w:tab w:val="left" w:pos="432"/>
      </w:tabs>
      <w:ind w:left="432" w:hanging="432"/>
    </w:pPr>
    <w:rPr>
      <w:rFonts w:ascii="Tahoma" w:hAnsi="Tahoma" w:cs="Times New Roman"/>
      <w:sz w:val="24"/>
      <w:szCs w:val="20"/>
    </w:rPr>
  </w:style>
  <w:style w:type="paragraph" w:customStyle="1" w:styleId="199">
    <w:name w:val="paragraph1"/>
    <w:basedOn w:val="1"/>
    <w:qFormat/>
    <w:uiPriority w:val="0"/>
    <w:pPr>
      <w:spacing w:afterLines="30" w:line="360" w:lineRule="auto"/>
      <w:ind w:firstLine="420" w:firstLineChars="200"/>
    </w:pPr>
    <w:rPr>
      <w:rFonts w:ascii="Times New Roman" w:hAnsi="Times New Roman" w:eastAsia="楷体_GB2312" w:cs="Times New Roman"/>
      <w:sz w:val="24"/>
      <w:szCs w:val="20"/>
    </w:rPr>
  </w:style>
  <w:style w:type="paragraph" w:customStyle="1" w:styleId="200">
    <w:name w:val="样式 样式 正文文本缩进 + 仿宋_GB2312 小四 首行缩进:  0 厘米 行距: 1.5 倍行距 + (中文) 仿宋_GB..."/>
    <w:basedOn w:val="1"/>
    <w:qFormat/>
    <w:uiPriority w:val="0"/>
    <w:pPr>
      <w:spacing w:line="360" w:lineRule="auto"/>
      <w:ind w:firstLine="480" w:firstLineChars="200"/>
    </w:pPr>
    <w:rPr>
      <w:rFonts w:ascii="仿宋_GB2312" w:hAnsi="Times New Roman" w:eastAsia="新宋体" w:cs="Times New Roman"/>
      <w:sz w:val="24"/>
      <w:szCs w:val="20"/>
    </w:rPr>
  </w:style>
  <w:style w:type="character" w:customStyle="1" w:styleId="201">
    <w:name w:val="表格 Char Char"/>
    <w:link w:val="202"/>
    <w:qFormat/>
    <w:uiPriority w:val="0"/>
    <w:rPr>
      <w:rFonts w:ascii="宋体" w:hAnsi="宋体"/>
    </w:rPr>
  </w:style>
  <w:style w:type="paragraph" w:customStyle="1" w:styleId="202">
    <w:name w:val="表格"/>
    <w:basedOn w:val="1"/>
    <w:link w:val="201"/>
    <w:qFormat/>
    <w:uiPriority w:val="0"/>
    <w:pPr>
      <w:snapToGrid w:val="0"/>
      <w:ind w:firstLine="42" w:firstLineChars="21"/>
    </w:pPr>
    <w:rPr>
      <w:rFonts w:ascii="宋体" w:hAnsi="宋体" w:cs="Times New Roman"/>
      <w:kern w:val="0"/>
      <w:sz w:val="20"/>
      <w:szCs w:val="20"/>
    </w:rPr>
  </w:style>
  <w:style w:type="paragraph" w:customStyle="1" w:styleId="203">
    <w:name w:val="List Paragraph1"/>
    <w:basedOn w:val="1"/>
    <w:qFormat/>
    <w:uiPriority w:val="99"/>
    <w:pPr>
      <w:spacing w:line="360" w:lineRule="auto"/>
      <w:ind w:firstLine="200" w:firstLineChars="200"/>
    </w:pPr>
    <w:rPr>
      <w:rFonts w:ascii="Times New Roman" w:hAnsi="Times New Roman" w:eastAsia="楷体_GB2312" w:cs="Lucida Sans"/>
      <w:sz w:val="24"/>
    </w:rPr>
  </w:style>
  <w:style w:type="paragraph" w:customStyle="1" w:styleId="20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05">
    <w:name w:val="正文1"/>
    <w:basedOn w:val="1"/>
    <w:autoRedefine/>
    <w:qFormat/>
    <w:uiPriority w:val="0"/>
    <w:pPr>
      <w:widowControl/>
      <w:spacing w:line="360" w:lineRule="auto"/>
      <w:ind w:left="360" w:firstLine="420"/>
      <w:jc w:val="left"/>
    </w:pPr>
    <w:rPr>
      <w:rFonts w:ascii="宋体" w:hAnsi="Times New Roman" w:cs="宋体"/>
      <w:kern w:val="0"/>
      <w:szCs w:val="20"/>
    </w:rPr>
  </w:style>
  <w:style w:type="paragraph" w:customStyle="1" w:styleId="206">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207">
    <w:name w:val="正文2 Char Char"/>
    <w:qFormat/>
    <w:uiPriority w:val="0"/>
    <w:rPr>
      <w:rFonts w:eastAsia="宋体"/>
      <w:kern w:val="2"/>
      <w:sz w:val="24"/>
      <w:lang w:val="en-US" w:eastAsia="zh-CN" w:bidi="ar-SA"/>
    </w:rPr>
  </w:style>
  <w:style w:type="paragraph" w:customStyle="1" w:styleId="208">
    <w:name w:val="列出段落11"/>
    <w:basedOn w:val="1"/>
    <w:qFormat/>
    <w:uiPriority w:val="0"/>
    <w:pPr>
      <w:ind w:firstLine="420" w:firstLineChars="200"/>
    </w:pPr>
    <w:rPr>
      <w:rFonts w:ascii="Times New Roman" w:hAnsi="Times New Roman" w:cs="Times New Roman"/>
    </w:rPr>
  </w:style>
  <w:style w:type="paragraph" w:customStyle="1" w:styleId="209">
    <w:name w:val="p0"/>
    <w:basedOn w:val="1"/>
    <w:qFormat/>
    <w:uiPriority w:val="0"/>
    <w:pPr>
      <w:widowControl/>
    </w:pPr>
    <w:rPr>
      <w:rFonts w:ascii="Times New Roman" w:hAnsi="Times New Roman" w:cs="Times New Roman"/>
      <w:kern w:val="0"/>
      <w:szCs w:val="21"/>
    </w:rPr>
  </w:style>
  <w:style w:type="paragraph" w:customStyle="1" w:styleId="210">
    <w:name w:val="title1"/>
    <w:basedOn w:val="1"/>
    <w:qFormat/>
    <w:uiPriority w:val="0"/>
    <w:pPr>
      <w:widowControl/>
      <w:spacing w:before="150" w:line="480" w:lineRule="atLeast"/>
      <w:jc w:val="left"/>
    </w:pPr>
    <w:rPr>
      <w:rFonts w:ascii="宋体" w:hAnsi="宋体" w:cs="宋体"/>
      <w:b/>
      <w:bCs/>
      <w:kern w:val="0"/>
      <w:sz w:val="24"/>
    </w:rPr>
  </w:style>
  <w:style w:type="paragraph" w:customStyle="1" w:styleId="211">
    <w:name w:val="Pa5"/>
    <w:basedOn w:val="1"/>
    <w:next w:val="1"/>
    <w:qFormat/>
    <w:uiPriority w:val="0"/>
    <w:pPr>
      <w:autoSpaceDE w:val="0"/>
      <w:autoSpaceDN w:val="0"/>
      <w:adjustRightInd w:val="0"/>
      <w:spacing w:line="141" w:lineRule="atLeast"/>
      <w:jc w:val="left"/>
    </w:pPr>
    <w:rPr>
      <w:rFonts w:ascii="HelveticaNeueLT Std" w:hAnsi="Times New Roman" w:eastAsia="HelveticaNeueLT Std" w:cs="Times New Roman"/>
      <w:kern w:val="0"/>
      <w:sz w:val="24"/>
    </w:rPr>
  </w:style>
  <w:style w:type="paragraph" w:styleId="212">
    <w:name w:val="List Paragraph"/>
    <w:basedOn w:val="1"/>
    <w:qFormat/>
    <w:uiPriority w:val="34"/>
    <w:pPr>
      <w:ind w:firstLine="420" w:firstLineChars="200"/>
    </w:pPr>
  </w:style>
  <w:style w:type="paragraph" w:customStyle="1" w:styleId="213">
    <w:name w:val="正文文本 21"/>
    <w:basedOn w:val="1"/>
    <w:qFormat/>
    <w:uiPriority w:val="0"/>
    <w:pPr>
      <w:adjustRightInd w:val="0"/>
      <w:spacing w:line="300" w:lineRule="auto"/>
      <w:jc w:val="center"/>
    </w:pPr>
    <w:rPr>
      <w:rFonts w:hint="eastAsia" w:ascii="Century Gothic" w:hAnsi="Century Gothic" w:cs="Times New Roman"/>
      <w:sz w:val="24"/>
      <w:szCs w:val="20"/>
    </w:rPr>
  </w:style>
  <w:style w:type="paragraph" w:customStyle="1" w:styleId="214">
    <w:name w:val="修订1"/>
    <w:hidden/>
    <w:semiHidden/>
    <w:qFormat/>
    <w:uiPriority w:val="99"/>
    <w:rPr>
      <w:rFonts w:ascii="Arial" w:hAnsi="Arial" w:eastAsia="宋体" w:cs="Arial"/>
      <w:kern w:val="2"/>
      <w:sz w:val="21"/>
      <w:szCs w:val="24"/>
      <w:lang w:val="en-US" w:eastAsia="zh-CN" w:bidi="ar-SA"/>
    </w:rPr>
  </w:style>
  <w:style w:type="paragraph" w:customStyle="1" w:styleId="215">
    <w:name w:val="Char Char28"/>
    <w:basedOn w:val="1"/>
    <w:qFormat/>
    <w:uiPriority w:val="0"/>
    <w:pPr>
      <w:snapToGrid w:val="0"/>
      <w:spacing w:line="360" w:lineRule="auto"/>
    </w:pPr>
    <w:rPr>
      <w:rFonts w:eastAsia="黑体" w:cs="Times New Roman"/>
      <w:snapToGrid w:val="0"/>
      <w:kern w:val="0"/>
      <w:sz w:val="20"/>
      <w:szCs w:val="21"/>
    </w:rPr>
  </w:style>
  <w:style w:type="paragraph" w:customStyle="1" w:styleId="216">
    <w:name w:val="默认段落字体 Para Char Char Char Char Char Char Char Char Char1 Char Char Char Char"/>
    <w:basedOn w:val="1"/>
    <w:qFormat/>
    <w:uiPriority w:val="0"/>
    <w:rPr>
      <w:rFonts w:ascii="Tahoma" w:hAnsi="Tahoma" w:cs="Times New Roman"/>
      <w:sz w:val="24"/>
      <w:szCs w:val="20"/>
    </w:rPr>
  </w:style>
  <w:style w:type="paragraph" w:styleId="217">
    <w:name w:val="No Spacing"/>
    <w:link w:val="218"/>
    <w:qFormat/>
    <w:uiPriority w:val="1"/>
    <w:pPr>
      <w:widowControl w:val="0"/>
      <w:jc w:val="both"/>
    </w:pPr>
    <w:rPr>
      <w:rFonts w:ascii="Calibri" w:hAnsi="Calibri" w:eastAsia="宋体" w:cs="Times New Roman"/>
      <w:kern w:val="2"/>
      <w:sz w:val="21"/>
      <w:szCs w:val="22"/>
      <w:lang w:val="en-US" w:eastAsia="zh-CN" w:bidi="ar-SA"/>
    </w:rPr>
  </w:style>
  <w:style w:type="character" w:customStyle="1" w:styleId="218">
    <w:name w:val="无间隔 字符"/>
    <w:basedOn w:val="48"/>
    <w:link w:val="217"/>
    <w:qFormat/>
    <w:uiPriority w:val="1"/>
    <w:rPr>
      <w:rFonts w:ascii="Calibri" w:hAnsi="Calibri"/>
      <w:kern w:val="2"/>
      <w:sz w:val="21"/>
      <w:szCs w:val="22"/>
    </w:rPr>
  </w:style>
  <w:style w:type="paragraph" w:customStyle="1" w:styleId="219">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220">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character" w:customStyle="1" w:styleId="221">
    <w:name w:val="正文文本首行缩进 2 字符"/>
    <w:basedOn w:val="68"/>
    <w:link w:val="44"/>
    <w:qFormat/>
    <w:uiPriority w:val="0"/>
    <w:rPr>
      <w:rFonts w:ascii="宋体" w:hAnsi="宋体" w:eastAsia="宋体" w:cs="宋体"/>
      <w:kern w:val="2"/>
      <w:sz w:val="24"/>
      <w:szCs w:val="24"/>
      <w:lang w:val="zh-CN" w:eastAsia="zh-CN" w:bidi="zh-CN"/>
    </w:rPr>
  </w:style>
  <w:style w:type="paragraph" w:customStyle="1" w:styleId="222">
    <w:name w:val="CSS1级正文"/>
    <w:basedOn w:val="223"/>
    <w:next w:val="1"/>
    <w:qFormat/>
    <w:uiPriority w:val="0"/>
    <w:pPr>
      <w:adjustRightInd w:val="0"/>
      <w:snapToGrid w:val="0"/>
      <w:spacing w:line="360" w:lineRule="auto"/>
      <w:ind w:firstLine="480"/>
    </w:pPr>
    <w:rPr>
      <w:rFonts w:ascii="Times New Roman" w:hAnsi="Times New Roman"/>
      <w:sz w:val="24"/>
      <w:szCs w:val="20"/>
    </w:rPr>
  </w:style>
  <w:style w:type="paragraph" w:customStyle="1" w:styleId="223">
    <w:name w:val="_Style 1"/>
    <w:basedOn w:val="1"/>
    <w:qFormat/>
    <w:uiPriority w:val="34"/>
    <w:pPr>
      <w:autoSpaceDE w:val="0"/>
      <w:autoSpaceDN w:val="0"/>
      <w:ind w:firstLine="420" w:firstLineChars="200"/>
      <w:jc w:val="left"/>
    </w:pPr>
    <w:rPr>
      <w:rFonts w:ascii="宋体" w:hAnsi="宋体" w:cs="宋体"/>
      <w:kern w:val="0"/>
      <w:sz w:val="22"/>
      <w:szCs w:val="22"/>
      <w:lang w:val="zh-CN" w:bidi="zh-CN"/>
    </w:rPr>
  </w:style>
  <w:style w:type="paragraph" w:customStyle="1" w:styleId="224">
    <w:name w:val="msolistparagraph"/>
    <w:basedOn w:val="1"/>
    <w:qFormat/>
    <w:uiPriority w:val="0"/>
    <w:pPr>
      <w:autoSpaceDE w:val="0"/>
      <w:autoSpaceDN w:val="0"/>
      <w:adjustRightInd w:val="0"/>
      <w:snapToGrid w:val="0"/>
      <w:ind w:firstLine="420" w:firstLineChars="200"/>
      <w:jc w:val="left"/>
    </w:pPr>
    <w:rPr>
      <w:rFonts w:ascii="宋体" w:hAnsi="宋体" w:cs="宋体"/>
      <w:kern w:val="0"/>
      <w:sz w:val="22"/>
      <w:szCs w:val="22"/>
      <w:lang w:val="zh-CN" w:bidi="zh-CN"/>
    </w:rPr>
  </w:style>
  <w:style w:type="paragraph" w:customStyle="1" w:styleId="225">
    <w:name w:val="自定义正文"/>
    <w:basedOn w:val="1"/>
    <w:link w:val="226"/>
    <w:qFormat/>
    <w:uiPriority w:val="0"/>
    <w:pPr>
      <w:autoSpaceDE w:val="0"/>
      <w:autoSpaceDN w:val="0"/>
      <w:adjustRightInd w:val="0"/>
      <w:snapToGrid w:val="0"/>
      <w:spacing w:afterLines="50" w:line="360" w:lineRule="auto"/>
      <w:ind w:firstLine="200" w:firstLineChars="200"/>
      <w:jc w:val="left"/>
    </w:pPr>
    <w:rPr>
      <w:rFonts w:ascii="宋体" w:hAnsi="宋体" w:cs="宋体"/>
      <w:kern w:val="0"/>
      <w:sz w:val="24"/>
      <w:lang w:val="zh-CN" w:bidi="zh-CN"/>
    </w:rPr>
  </w:style>
  <w:style w:type="character" w:customStyle="1" w:styleId="226">
    <w:name w:val="自定义正文 Char Char"/>
    <w:link w:val="225"/>
    <w:uiPriority w:val="0"/>
    <w:rPr>
      <w:rFonts w:ascii="宋体" w:hAnsi="宋体" w:eastAsia="宋体" w:cs="宋体"/>
      <w:sz w:val="24"/>
      <w:szCs w:val="24"/>
      <w:lang w:val="zh-CN" w:bidi="zh-CN"/>
    </w:rPr>
  </w:style>
  <w:style w:type="paragraph" w:customStyle="1" w:styleId="227">
    <w:name w:val="style196"/>
    <w:basedOn w:val="1"/>
    <w:qFormat/>
    <w:uiPriority w:val="0"/>
    <w:pPr>
      <w:widowControl/>
      <w:autoSpaceDE w:val="0"/>
      <w:autoSpaceDN w:val="0"/>
      <w:adjustRightInd w:val="0"/>
      <w:snapToGrid w:val="0"/>
      <w:spacing w:beforeAutospacing="1" w:afterAutospacing="1"/>
      <w:jc w:val="left"/>
    </w:pPr>
    <w:rPr>
      <w:rFonts w:hint="eastAsia" w:ascii="宋体" w:hAnsi="宋体" w:cs="宋体"/>
      <w:kern w:val="0"/>
      <w:sz w:val="24"/>
      <w:lang w:val="zh-CN" w:bidi="zh-CN"/>
    </w:rPr>
  </w:style>
  <w:style w:type="paragraph" w:customStyle="1" w:styleId="228">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29">
    <w:name w:val="本文正文 Char1 Char Char Char Char Char Char Char Char Char Char Char Char Char Char Char Char Char Char Char Char Char Char Char Char Char Char"/>
    <w:link w:val="230"/>
    <w:qFormat/>
    <w:uiPriority w:val="0"/>
    <w:rPr>
      <w:rFonts w:ascii="宋体" w:hAnsi="宋体"/>
      <w:sz w:val="24"/>
      <w:szCs w:val="24"/>
    </w:rPr>
  </w:style>
  <w:style w:type="paragraph" w:customStyle="1" w:styleId="230">
    <w:name w:val="本文正文 Char1 Char Char Char Char Char Char Char Char Char Char Char Char Char Char Char Char Char Char Char Char Char Char Char Char"/>
    <w:basedOn w:val="1"/>
    <w:link w:val="229"/>
    <w:qFormat/>
    <w:uiPriority w:val="0"/>
    <w:pPr>
      <w:widowControl/>
      <w:spacing w:line="480" w:lineRule="exact"/>
      <w:ind w:firstLine="200" w:firstLineChars="200"/>
      <w:jc w:val="left"/>
    </w:pPr>
    <w:rPr>
      <w:rFonts w:ascii="宋体" w:hAnsi="宋体" w:eastAsiaTheme="minorEastAsia" w:cstheme="minorBidi"/>
      <w:kern w:val="0"/>
      <w:sz w:val="24"/>
    </w:rPr>
  </w:style>
  <w:style w:type="paragraph" w:customStyle="1" w:styleId="231">
    <w:name w:val="标正文"/>
    <w:basedOn w:val="1"/>
    <w:link w:val="232"/>
    <w:qFormat/>
    <w:uiPriority w:val="0"/>
    <w:pPr>
      <w:spacing w:line="360" w:lineRule="auto"/>
      <w:ind w:firstLine="480" w:firstLineChars="200"/>
    </w:pPr>
    <w:rPr>
      <w:rFonts w:ascii="Times New Roman" w:hAnsi="Times New Roman" w:cs="Times New Roman"/>
      <w:sz w:val="24"/>
    </w:rPr>
  </w:style>
  <w:style w:type="character" w:customStyle="1" w:styleId="232">
    <w:name w:val="标正文 Char"/>
    <w:basedOn w:val="48"/>
    <w:link w:val="231"/>
    <w:qFormat/>
    <w:uiPriority w:val="0"/>
    <w:rPr>
      <w:rFonts w:ascii="Times New Roman" w:hAnsi="Times New Roman" w:eastAsia="宋体" w:cs="Times New Roman"/>
      <w:kern w:val="2"/>
      <w:sz w:val="24"/>
      <w:szCs w:val="24"/>
    </w:rPr>
  </w:style>
  <w:style w:type="paragraph" w:customStyle="1" w:styleId="233">
    <w:name w:val="标图题"/>
    <w:basedOn w:val="1"/>
    <w:link w:val="234"/>
    <w:qFormat/>
    <w:uiPriority w:val="0"/>
    <w:pPr>
      <w:spacing w:line="360" w:lineRule="auto"/>
      <w:jc w:val="center"/>
    </w:pPr>
    <w:rPr>
      <w:rFonts w:ascii="Times New Roman" w:hAnsi="Times New Roman" w:cs="Times New Roman"/>
      <w:sz w:val="24"/>
    </w:rPr>
  </w:style>
  <w:style w:type="character" w:customStyle="1" w:styleId="234">
    <w:name w:val="标图题 Char"/>
    <w:basedOn w:val="48"/>
    <w:link w:val="233"/>
    <w:qFormat/>
    <w:uiPriority w:val="0"/>
    <w:rPr>
      <w:rFonts w:ascii="Times New Roman" w:hAnsi="Times New Roman" w:eastAsia="宋体" w:cs="Times New Roman"/>
      <w:kern w:val="2"/>
      <w:sz w:val="24"/>
      <w:szCs w:val="24"/>
    </w:rPr>
  </w:style>
  <w:style w:type="paragraph" w:customStyle="1" w:styleId="235">
    <w:name w:val="标图"/>
    <w:basedOn w:val="1"/>
    <w:link w:val="236"/>
    <w:qFormat/>
    <w:uiPriority w:val="0"/>
    <w:pPr>
      <w:spacing w:line="360" w:lineRule="auto"/>
      <w:jc w:val="center"/>
    </w:pPr>
    <w:rPr>
      <w:rFonts w:ascii="Times New Roman" w:hAnsi="Times New Roman" w:cs="Times New Roman"/>
      <w:sz w:val="24"/>
    </w:rPr>
  </w:style>
  <w:style w:type="character" w:customStyle="1" w:styleId="236">
    <w:name w:val="标图 Char"/>
    <w:basedOn w:val="48"/>
    <w:link w:val="235"/>
    <w:qFormat/>
    <w:uiPriority w:val="0"/>
    <w:rPr>
      <w:rFonts w:ascii="Times New Roman" w:hAnsi="Times New Roman" w:eastAsia="宋体" w:cs="Times New Roman"/>
      <w:kern w:val="2"/>
      <w:sz w:val="24"/>
      <w:szCs w:val="24"/>
    </w:rPr>
  </w:style>
  <w:style w:type="paragraph" w:customStyle="1" w:styleId="237">
    <w:name w:val="标分组"/>
    <w:basedOn w:val="212"/>
    <w:link w:val="238"/>
    <w:qFormat/>
    <w:uiPriority w:val="0"/>
    <w:pPr>
      <w:spacing w:line="360" w:lineRule="auto"/>
      <w:ind w:left="840" w:firstLine="0" w:firstLineChars="0"/>
    </w:pPr>
    <w:rPr>
      <w:rFonts w:cs="Times New Roman"/>
      <w:sz w:val="24"/>
      <w:szCs w:val="22"/>
    </w:rPr>
  </w:style>
  <w:style w:type="character" w:customStyle="1" w:styleId="238">
    <w:name w:val="标分组 Char"/>
    <w:basedOn w:val="48"/>
    <w:link w:val="237"/>
    <w:qFormat/>
    <w:uiPriority w:val="0"/>
    <w:rPr>
      <w:rFonts w:ascii="Arial" w:hAnsi="Arial" w:eastAsia="宋体" w:cs="Times New Roman"/>
      <w:kern w:val="2"/>
      <w:sz w:val="24"/>
      <w:szCs w:val="22"/>
    </w:rPr>
  </w:style>
  <w:style w:type="paragraph" w:customStyle="1" w:styleId="239">
    <w:name w:val="标题  4"/>
    <w:basedOn w:val="1"/>
    <w:qFormat/>
    <w:uiPriority w:val="99"/>
    <w:pPr>
      <w:numPr>
        <w:ilvl w:val="0"/>
        <w:numId w:val="1"/>
      </w:numPr>
      <w:spacing w:line="360" w:lineRule="auto"/>
      <w:jc w:val="left"/>
    </w:pPr>
    <w:rPr>
      <w:rFonts w:ascii="Times New Roman" w:hAnsi="Times New Roman" w:cs="Times New Roman"/>
      <w:sz w:val="24"/>
    </w:rPr>
  </w:style>
  <w:style w:type="character" w:customStyle="1" w:styleId="240">
    <w:name w:val="正文文本缩进 2 Char1"/>
    <w:basedOn w:val="48"/>
    <w:qFormat/>
    <w:uiPriority w:val="99"/>
    <w:rPr>
      <w:rFonts w:ascii="宋体" w:hAnsi="宋体" w:eastAsia="宋体" w:cs="宋体"/>
      <w:sz w:val="22"/>
      <w:szCs w:val="22"/>
      <w:lang w:val="zh-CN" w:bidi="zh-CN"/>
    </w:rPr>
  </w:style>
  <w:style w:type="paragraph" w:customStyle="1" w:styleId="24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42">
    <w:name w:val="标题 2 Char1"/>
    <w:basedOn w:val="48"/>
    <w:qFormat/>
    <w:uiPriority w:val="9"/>
    <w:rPr>
      <w:rFonts w:ascii="楷体" w:hAnsi="楷体" w:eastAsia="楷体" w:cs="Times New Roman"/>
      <w:b/>
      <w:bCs/>
      <w:snapToGrid w:val="0"/>
      <w:sz w:val="32"/>
      <w:szCs w:val="32"/>
    </w:rPr>
  </w:style>
  <w:style w:type="paragraph" w:customStyle="1" w:styleId="243">
    <w:name w:val="列表段落1"/>
    <w:basedOn w:val="1"/>
    <w:link w:val="244"/>
    <w:qFormat/>
    <w:uiPriority w:val="34"/>
    <w:pPr>
      <w:ind w:firstLine="420" w:firstLineChars="200"/>
    </w:pPr>
    <w:rPr>
      <w:rFonts w:ascii="Calibri" w:hAnsi="Calibri" w:cs="黑体"/>
      <w:szCs w:val="22"/>
    </w:rPr>
  </w:style>
  <w:style w:type="character" w:customStyle="1" w:styleId="244">
    <w:name w:val="列表段落 字符"/>
    <w:link w:val="243"/>
    <w:qFormat/>
    <w:uiPriority w:val="34"/>
    <w:rPr>
      <w:rFonts w:ascii="Calibri" w:hAnsi="Calibri" w:eastAsia="宋体" w:cs="黑体"/>
      <w:kern w:val="2"/>
      <w:sz w:val="21"/>
      <w:szCs w:val="22"/>
    </w:rPr>
  </w:style>
  <w:style w:type="paragraph" w:customStyle="1" w:styleId="245">
    <w:name w:val="TOC 标题1"/>
    <w:basedOn w:val="3"/>
    <w:next w:val="1"/>
    <w:unhideWhenUsed/>
    <w:qFormat/>
    <w:uiPriority w:val="39"/>
    <w:pPr>
      <w:widowControl/>
      <w:spacing w:before="0" w:after="0" w:line="259" w:lineRule="auto"/>
      <w:jc w:val="left"/>
      <w:outlineLvl w:val="9"/>
    </w:pPr>
    <w:rPr>
      <w:rFonts w:ascii="Cambria" w:hAnsi="Cambria" w:eastAsia="宋体" w:cs="黑体"/>
      <w:b w:val="0"/>
      <w:bCs w:val="0"/>
      <w:color w:val="365F90"/>
      <w:kern w:val="0"/>
      <w:sz w:val="32"/>
      <w:szCs w:val="32"/>
    </w:rPr>
  </w:style>
  <w:style w:type="paragraph" w:customStyle="1" w:styleId="246">
    <w:name w:val="图表"/>
    <w:basedOn w:val="1"/>
    <w:link w:val="247"/>
    <w:qFormat/>
    <w:uiPriority w:val="0"/>
    <w:pPr>
      <w:jc w:val="center"/>
    </w:pPr>
    <w:rPr>
      <w:rFonts w:eastAsia="华文仿宋" w:asciiTheme="minorHAnsi" w:hAnsiTheme="minorHAnsi" w:cstheme="minorBidi"/>
      <w:sz w:val="28"/>
      <w:szCs w:val="22"/>
    </w:rPr>
  </w:style>
  <w:style w:type="character" w:customStyle="1" w:styleId="247">
    <w:name w:val="图表 字符"/>
    <w:basedOn w:val="48"/>
    <w:link w:val="246"/>
    <w:qFormat/>
    <w:uiPriority w:val="0"/>
    <w:rPr>
      <w:rFonts w:eastAsia="华文仿宋"/>
      <w:kern w:val="2"/>
      <w:sz w:val="28"/>
      <w:szCs w:val="22"/>
    </w:rPr>
  </w:style>
  <w:style w:type="character" w:customStyle="1" w:styleId="248">
    <w:name w:val="old"/>
    <w:qFormat/>
    <w:uiPriority w:val="99"/>
    <w:rPr>
      <w:rFonts w:cs="Times New Roman"/>
      <w:color w:val="999999"/>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1B4437-51AB-4295-8CEF-2182499B6A4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40796</Words>
  <Characters>6244</Characters>
  <Lines>52</Lines>
  <Paragraphs>93</Paragraphs>
  <TotalTime>44</TotalTime>
  <ScaleCrop>false</ScaleCrop>
  <LinksUpToDate>false</LinksUpToDate>
  <CharactersWithSpaces>46947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2019-10-28T02:51:00Z</dcterms:created>
  <dc:creator>微软用户</dc:creator>
  <cp:lastModifiedBy>壹抹高傲旳笑</cp:lastModifiedBy>
  <cp:lastPrinted>2019-06-28T08:00:00Z</cp:lastPrinted>
  <dcterms:modified xsi:type="dcterms:W3CDTF">2024-02-28T03:21:54Z</dcterms:modified>
  <dc:title>ZL</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6E8FED382BAB4467B78B289BBC01CC57_12</vt:lpwstr>
  </property>
</Properties>
</file>